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police must have clear priorities; The pernicious influence of identity politics has led to confusion about what is expected of officers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BLUNKETT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Saturday evening on Clapham Common illustrated a stark challenge faced by the police today. We, the public, reinforced by the words of politicians, expect "policing by consent". During the exceptional restrictions introduced to tackle the pandemic and the use of historic public health legislation, this has been far from easy for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former home secretary, I know how important it is that where the police get things wrong, action should be expected. This should include a swift review of tactics, improvements in training and above all a reiteration of their commitment to consistency in applying the law. Previously officers were heavily criticised for not getting tough enough with the small minority of anarchists who exploited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the gatherings under the umbrella of Black Lives Matter, not because they should not have empathy, but because policing requires separating personal views from the core job of maintaining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like all of our institutions, have increasingly found themselves under pressure to demonstrate their commitment to identity politics, namely through making great play of their opposition to issues such as racism, homophobia and, as now seems darkly ironic, misogyny. This is not an ignoble aim, and we would not want a bigoted police force. But it was inevitable that the subsequent soft-touch approach to the summer's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raise questions over whether the police's approach was consistent whatever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Priti Patel made it clear that she expected the Metropolitan Police to be very robust in dealing with those who break the law, and the rules on Covid were tightened to clamp down on public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we saw the consequences of those decisions. After being branded "too soft" in the past, officers are accused of acting too harshly. Such are the risks when laws are made in haste and the police, in the face of mixed messaging, become uncertain of what is expected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a small minority of adherents to identity politics have continued to make progress achieving this balance difficult. Sarah Everard's murder should be, and is, the concern of all of us. Somewhere lost in this are her family and close friends, grieving for a loved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still we have had some people seeking to divide us rather than unite by pouring scorn on the behaviour of men in general, targeting those men who ask on social media "What do you want us to do?" and calling for the resignation of the Metropolitan Police Commissioner, Cressida Dick, the first woman to hold this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Wednesday, I was proud to take part in a debate in the House of Lords on the Domestic Abuse Bill and specifically over the appalling issue of "non-fatal strangulation". The Lords united behind an amendment moved by the Conservative peer Baroness Newlove, the former victims commissioner, and persuaded the Government to accept seminal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vital issue because, although the Met Commissioner was attacked for saying so, it is true that women are more likely to be abused by someone they know. It doesn't make securing the safety of a woman on the street any less of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make working together to find lasting solutions an imperative. And yes, it is about the behaviour of men. By spotting the signposts that should alert us to the potentially dangerous behaviour of others, all of us can play a part in the future. This will not be achieved through the resignation of the Met Commissioner, or for that matter the demonisation of men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it will require a well-thought through, holistic approach - from education to a dramatic improvement in how the criminal justice system responds to violence against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highly emotionally-charged times it is vital to set aside the all-toocommon tendency to ask, "Whose side are you on?" For, in changing policing for the better, such divisions will be deeply counterproductive. We owe it to all those who have lost their life through violence either at home or on the streets to work in unison to create a more compassionate and safer world. Lord Blunkett was home secretary from 2001 to 2004 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must have clear priorities The pernicious influence of identity politics has led to confusion about what is expected of officers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3-7CR1-JCBW-N4D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police must have clear priorities The pernicious influence of identity politics has led to confusion about what is expected of officers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urn:user:PA195023767</vt:lpwstr>
  </property>
</Properties>
</file>