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Warm cushions answer climate change prayers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of England is turning to heated cushions to help beat climate change as part of its new zero carbon strategy, unveiled by a senior bishop who yesterday described the militant green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"brilliant". Anglican leaders are to adopt the zero emissions target as part of their response to what the Church will next month declare to be a "climate emergency". It wants to reduce its carbon output to zero by 2045 at the latest, five years earlier than the Government's own target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ahead of next month's synod, came as the Bishop of Salisbury, the Rt Rev Nicholas Holtam, called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(ER) and teenage activist Greta Thunberg "brilliant" for having forced governments to pay more attention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 supporters have been arrested in their hundreds for blocking roads and bridges in cities during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drawing fire from Government ministers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announcing the Church's zero carbon target, Bishop Holtam said yesterday: "Isn't Greta Thunberg marvellous? Aren't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brilliant in moving the environmental issue up the agenda of people's concerns?" The Church says it needs to move away from gas and oil heating in favour of more renewable energy sources to heat its 16,000 churches - many of them ancient, cavernous buildings - as well as thousands of community halls, schools and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central heating for a church can cost up to £80,000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Synod's climate emergency paper says part of the answer will be to "heat people not buildings", by using chargeable, heated cushions placed on pews, instead of expensive and carbon-generating radiators.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battery operated cushions were developed by a Dutch inventor and cost about £100 each. They provide heating for up to four hours and members of the congregation are able to adjust the temperature. Among the churches already using similar cushions are St Peter's in Newton Bromswold, Northants; All Saints in Richard's Castle, Shropshire; and All Saints in Cranham,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Warm cushions answer climate change prayers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C-C3C1-DYTY-C42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 cushions answer climate change prayers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