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grandstanding;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disrupting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 (report, August 24). I've heard interviews with representatives or sympathisers, and only once were they asked why they don't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www.Beijing.No</w:t>
        </w:r>
      </w:hyperlink>
      <w:r>
        <w:rPr>
          <w:rFonts w:ascii="arial" w:eastAsia="arial" w:hAnsi="arial" w:cs="arial"/>
          <w:b w:val="0"/>
          <w:i w:val="0"/>
          <w:strike w:val="0"/>
          <w:noProof w:val="0"/>
          <w:color w:val="000000"/>
          <w:position w:val="0"/>
          <w:sz w:val="20"/>
          <w:u w:val="none"/>
          <w:vertAlign w:val="baseline"/>
        </w:rPr>
        <w:t xml:space="preserve"> answer was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produces a tiny fraction of global carbon emissions, whereas China produces a large percentage and is still opening coal mines.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Britain because it can. Our laws facilitate it and it gets maximum publicity. Beijing would have no truck with this, as the protesters know, but it would show deeper commitment if they tried. Their current approach is cowardly and sensationalist. Jennie Naylor East Preston, West Sussex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grandstanding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eijing.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M-BBS1-JCBW-N0T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grandstanding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