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At last, climate change action from investors and companies; If passed at BP's AGM tomorrow, a proposal to tie the company to the Paris Agreement goals may be a blueprint for others to follow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Bruce Duguid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morning investors will gather in the Aberdeen Exhibition and Conference Centre on the North Sea coast for BP's annual general meeting. While Aberdeen is a place of major historical significance for the energy giant, a substantial part of the conversation on the day will be centred on the future of BP's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the stark warnings of the Intergovernmental Panel on Climate Change that we must act now to avoid a climate catastrophe, we have seen an increase in the volume and urgency of climate rhetoric over recent months. Businesses and investors alike have woken up to the wide-ranging threats that extreme weather and more profound climate shifts pose to global stability and long-term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this backdrop, Resolution 22 was born. Co-filed by 58 investors owning just under 10pc of the company's voting shares between them - equivalent to a £10bn holding - it is the first resolution co-filed in Europe by investors acting as part of Climate Action 100+, an investor initiative aiming to ensure that the world's largest corporate greenhouse gas emitters are taking necessary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has shown leadership on climate change in a number of important areas. For example, setting emissions targets for its operations linked to remuneration, and its investment in Chargemaster, the UK's largest electric vehicle charging network. However, Resolution 22 aims to tackle investors' concerns that BP has not demonstrated that its strategy is consistent with the goals of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ambitious resolution covers four key areas. At its heart is the call to set out a business strategy that is consistent with the Paris goals. This means making plans in line with limiting climate change to well below 2C (3.6F), with global emissions peaking within a decade or less and reducing rapidly to net zero by mid-century, or as soon as possible thereafter.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faces key decisions beyond managing the longterm decline in fossil fuels' businesses, which still receive the vast majority of BP's capital expenditure. Given the anticipated long-term decline in oil and gas demand, the resolution asks how the company evaluates the consistency of each new material CapEx investment with the Paris goals, together with rigorous annual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want BP to more clearly communicate its goals, targets and metrics, and the consequences of this strategy for its future business model and investment proposition. BP, like its peers, faces key decisions beyond managing the long-term decline in fossil fuels. These include the extent of investment in low carbon electricity such as wind and solar, low carbon fuels such as biofuels or hydrogen, and carbon capture, use and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Resolution 22, which if passed will be legally binding, is careful to avoid prescribing in advance any particular metric or target, allowing BP's board to formulate the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co-filing process, Resolution 22 gained record levels of investor support, achieving nearly double the highest percentage previously achieved in the UK for a climate change resolution. By taking a business-focused approach and regularly engaging with the company, it has also achieved the support of BP's board. For investors, this demonstrates the power of active and responsible ownership. For the company, it signals a new level of investor expectation, shifting from preparing for the transition to a low-carbon world to a clear commitment to operate with the Paris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sea change doesn't happen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energy companies across the globe will be watching BP's AGM closely and, if Resolution 22 is successful, this approach could set a precedent for others. Since the publication of the resolution in January, Glencore and Equinor, other large greenhouse gas emitters, have included similar concepts to those in the BP resolution within their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companies will inevitably make different choices as, no doubt, will investors. For example, Total has stated the ambition for 20pc of its business to be low carbon within 20 years, with a focus on batteries and solar. Occidental Petroleum aspires to be carbon neutral across its value chain by 2050, relying particularly on carbon capture, while ENI plans to support a major tree-planting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Hermes EOS, a leading stewardship services provider, represents £450bn of assets under advice and we know that there is a hunger among institutional investors to engage companies on the issue of climate change. Success at tomorrow's AGM will continue the momentum of a new era of collaboration between investors and companies, working together to find long-term solutions to one of the most challenging and urgent problems for mankind.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finally seeing concrete action from both investors and companies on climate change and we expect to see similar calls for action from investors over the next year. For large greenhouse gas emitters, we are reaching a tipping point. Those failing to act now to address the long-term risks and opportunities could be the biggest losers.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Duguid is the head of stewardship at Hermes Investment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faces key decisions beyond managing the longterm decline in fossil fuels'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last, climate change action from investors and companies If passed at BP's AGM tomorrow, a proposal to tie the company to the Paris Agreement goals may be a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52-GDN1-DYTY-C02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last, climate change action from investors and companies If passed at BP's AGM tomorrow, a proposal to tie the company to the Paris Agreement goals may be a blueprint for others to follow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urn:user:PA195023767</vt:lpwstr>
  </property>
</Properties>
</file>