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CHRIS PACKHAM: IS IT TIME TO BREAK THE LAW?; What to watch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4, 9pm It would be wrong to suggest that, for wildlife presenter Chris Packham, the climate crisis is more about him than the planet. Clearly, he is devoted to the natural world and anguished about the ongoing threat to it from global warming and the like. But in this misguided lm he makes the error of making the very real issue all about himself. Looking admiringly at the disruptive tactics of activist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he wonders if he too should break the law to try to eect change? It never seems to occur to him that such tactics have been completely ineectual. Counterproductive even. Or that any law-breaking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him - however momentarily headlinegrabbing - would make little dierence to the rate at which the world's governments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shockingly naive exchanges with extremismencouraging voices, he fails to see that he already possesses what they lack utterly: a voice of credible inuence and a prominent media platform that, rather than encouraging irresponsibility, could be eectively used for good within the rules of the law. In the end, this is more frustrated rant than serious argument. Gerard O'Donovan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wildlife broadcaster presents a misguided look at the threat of the climate crisis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 PACKHAM: IS IT TIME TO BREAK THE LAW? What to watch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6V-9MR1-JCBW-N0G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PACKHAM: IS IT TIME TO BREAK THE LAW? What to watch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urn:user:PA195023767</vt:lpwstr>
  </property>
</Properties>
</file>