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embassy officials attempted to influence UK court cases, documents suggest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Exclusive: papers appear to show embassy officials pressing attorney general’s office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embassy officials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attempted to get the attorney general’s office to intervene in UK court cases relating to the prosecution of protesters, documents seen by the Guardian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papers, obtained through a freedom of information (FoI) request by </w:t>
      </w:r>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Action</w:t>
        </w:r>
      </w:hyperlink>
      <w:r>
        <w:rPr>
          <w:rFonts w:ascii="arial" w:eastAsia="arial" w:hAnsi="arial" w:cs="arial"/>
          <w:b w:val="0"/>
          <w:i w:val="0"/>
          <w:strike w:val="0"/>
          <w:noProof w:val="0"/>
          <w:color w:val="000000"/>
          <w:position w:val="0"/>
          <w:sz w:val="20"/>
          <w:u w:val="none"/>
          <w:vertAlign w:val="baseline"/>
        </w:rPr>
        <w:t xml:space="preserve"> , indicate that embassy officials pressed for the director general of the attorney general’s office (AGO), Douglas Wilson, to interfere into cases related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UK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documents are heavily redacted and so do not show the specifics of what the Israeli officials requested, an email sent by Wilson to embassy representatives after a meeting states: “As we noted … the CPS [Crown Prosecution Service] makes its prosecution decisions and manages its casework independently. The law officers are unable to intervene on an individual case or comment on issues related to active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minutes similarly refer to Wilson “noting the operational independence of the CPS and the sensitivities of engaging with them on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Wilson’s email, from May last year, also informed the officials about royal assent of the </w:t>
      </w:r>
      <w:hyperlink r:id="rId12" w:history="1">
        <w:r>
          <w:rPr>
            <w:rFonts w:ascii="arial" w:eastAsia="arial" w:hAnsi="arial" w:cs="arial"/>
            <w:b w:val="0"/>
            <w:i/>
            <w:strike w:val="0"/>
            <w:noProof w:val="0"/>
            <w:color w:val="0077CC"/>
            <w:position w:val="0"/>
            <w:sz w:val="20"/>
            <w:u w:val="single"/>
            <w:vertAlign w:val="baseline"/>
          </w:rPr>
          <w:t>controversial Police, Crime, Courts and Sentencing Act</w:t>
        </w:r>
      </w:hyperlink>
      <w:r>
        <w:rPr>
          <w:rFonts w:ascii="arial" w:eastAsia="arial" w:hAnsi="arial" w:cs="arial"/>
          <w:b w:val="0"/>
          <w:i w:val="0"/>
          <w:strike w:val="0"/>
          <w:noProof w:val="0"/>
          <w:color w:val="000000"/>
          <w:position w:val="0"/>
          <w:sz w:val="20"/>
          <w:u w:val="none"/>
          <w:vertAlign w:val="baseline"/>
        </w:rPr>
        <w:t xml:space="preserve"> , which introduced onerous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attorney general’s </w:t>
      </w:r>
      <w:hyperlink r:id="rId13" w:history="1">
        <w:r>
          <w:rPr>
            <w:rFonts w:ascii="arial" w:eastAsia="arial" w:hAnsi="arial" w:cs="arial"/>
            <w:b w:val="0"/>
            <w:i/>
            <w:strike w:val="0"/>
            <w:noProof w:val="0"/>
            <w:color w:val="0077CC"/>
            <w:position w:val="0"/>
            <w:sz w:val="20"/>
            <w:u w:val="single"/>
            <w:vertAlign w:val="baseline"/>
          </w:rPr>
          <w:t xml:space="preserve">referral of the Colston statue </w:t>
        </w:r>
      </w:hyperlink>
      <w:hyperlink r:id="rId13" w:history="1">
        <w:r>
          <w:rPr>
            <w:rFonts w:ascii="arial" w:eastAsia="arial" w:hAnsi="arial" w:cs="arial"/>
            <w:b/>
            <w:i/>
            <w:strike w:val="0"/>
            <w:noProof w:val="0"/>
            <w:color w:val="0077CC"/>
            <w:position w:val="0"/>
            <w:sz w:val="20"/>
            <w:u w:val="single"/>
            <w:vertAlign w:val="baseline"/>
          </w:rPr>
          <w:t>protest</w:t>
        </w:r>
      </w:hyperlink>
      <w:hyperlink r:id="rId13" w:history="1">
        <w:r>
          <w:rPr>
            <w:rFonts w:ascii="arial" w:eastAsia="arial" w:hAnsi="arial" w:cs="arial"/>
            <w:b w:val="0"/>
            <w:i/>
            <w:strike w:val="0"/>
            <w:noProof w:val="0"/>
            <w:color w:val="0077CC"/>
            <w:position w:val="0"/>
            <w:sz w:val="20"/>
            <w:u w:val="single"/>
            <w:vertAlign w:val="baseline"/>
          </w:rPr>
          <w:t xml:space="preserve"> case to the court of appeal</w:t>
        </w:r>
      </w:hyperlink>
      <w:r>
        <w:rPr>
          <w:rFonts w:ascii="arial" w:eastAsia="arial" w:hAnsi="arial" w:cs="arial"/>
          <w:b w:val="0"/>
          <w:i w:val="0"/>
          <w:strike w:val="0"/>
          <w:noProof w:val="0"/>
          <w:color w:val="000000"/>
          <w:position w:val="0"/>
          <w:sz w:val="20"/>
          <w:u w:val="none"/>
          <w:vertAlign w:val="baseline"/>
        </w:rPr>
        <w:t xml:space="preserve">.  The referral led to judges </w:t>
      </w:r>
      <w:hyperlink r:id="rId14" w:history="1">
        <w:r>
          <w:rPr>
            <w:rFonts w:ascii="arial" w:eastAsia="arial" w:hAnsi="arial" w:cs="arial"/>
            <w:b w:val="0"/>
            <w:i/>
            <w:strike w:val="0"/>
            <w:noProof w:val="0"/>
            <w:color w:val="0077CC"/>
            <w:position w:val="0"/>
            <w:sz w:val="20"/>
            <w:u w:val="single"/>
            <w:vertAlign w:val="baseline"/>
          </w:rPr>
          <w:t>deciding that protesters accused of “significant” criminal damage could not rely on human rights defences</w:t>
        </w:r>
      </w:hyperlink>
      <w:r>
        <w:rPr>
          <w:rFonts w:ascii="arial" w:eastAsia="arial" w:hAnsi="arial" w:cs="arial"/>
          <w:b w:val="0"/>
          <w:i w:val="0"/>
          <w:strike w:val="0"/>
          <w:noProof w:val="0"/>
          <w:color w:val="000000"/>
          <w:position w:val="0"/>
          <w:sz w:val="20"/>
          <w:u w:val="none"/>
          <w:vertAlign w:val="baseline"/>
        </w:rPr>
        <w:t xml:space="preserve">  when on trial, further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FoI request, the AGO justified the redactions, saying disclosure “would be likely to prejudice the UK’s relations with Israel”.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is an activist group that primarily targets the UK factories of Israeli weapons manufacturer Elbit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Colston court of appeal decision,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activists have, </w:t>
      </w:r>
      <w:hyperlink r:id="rId15" w:history="1">
        <w:r>
          <w:rPr>
            <w:rFonts w:ascii="arial" w:eastAsia="arial" w:hAnsi="arial" w:cs="arial"/>
            <w:b w:val="0"/>
            <w:i/>
            <w:strike w:val="0"/>
            <w:noProof w:val="0"/>
            <w:color w:val="0077CC"/>
            <w:position w:val="0"/>
            <w:sz w:val="20"/>
            <w:u w:val="single"/>
            <w:vertAlign w:val="baseline"/>
          </w:rPr>
          <w:t>like environmental protesters</w:t>
        </w:r>
      </w:hyperlink>
      <w:r>
        <w:rPr>
          <w:rFonts w:ascii="arial" w:eastAsia="arial" w:hAnsi="arial" w:cs="arial"/>
          <w:b w:val="0"/>
          <w:i w:val="0"/>
          <w:strike w:val="0"/>
          <w:noProof w:val="0"/>
          <w:color w:val="000000"/>
          <w:position w:val="0"/>
          <w:sz w:val="20"/>
          <w:u w:val="none"/>
          <w:vertAlign w:val="baseline"/>
        </w:rPr>
        <w:t xml:space="preserve"> , been convicted in cases similar to those they had been acquitted for in the past with human rights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Lydia Dagostino, the director of Kellys solicitors, who defends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activists, said: “The disclosure raises a number of questions, not least whether this meeting was about the direct action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There clearly needs to be further investigations as to the extent to which there’s been any attempt by any representatives from the Israeli embassy to influence cases involving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this year, there was correspondence between embassy officials and Wilson about private arrests in the UK for alleged war crimes. Again, the details of the Israeli request were redacted, but in the past </w:t>
      </w:r>
      <w:hyperlink r:id="rId16" w:history="1">
        <w:r>
          <w:rPr>
            <w:rFonts w:ascii="arial" w:eastAsia="arial" w:hAnsi="arial" w:cs="arial"/>
            <w:b w:val="0"/>
            <w:i/>
            <w:strike w:val="0"/>
            <w:noProof w:val="0"/>
            <w:color w:val="0077CC"/>
            <w:position w:val="0"/>
            <w:sz w:val="20"/>
            <w:u w:val="single"/>
            <w:vertAlign w:val="baseline"/>
          </w:rPr>
          <w:t>British courts have issued warrants</w:t>
        </w:r>
      </w:hyperlink>
      <w:r>
        <w:rPr>
          <w:rFonts w:ascii="arial" w:eastAsia="arial" w:hAnsi="arial" w:cs="arial"/>
          <w:b w:val="0"/>
          <w:i w:val="0"/>
          <w:strike w:val="0"/>
          <w:noProof w:val="0"/>
          <w:color w:val="000000"/>
          <w:position w:val="0"/>
          <w:sz w:val="20"/>
          <w:u w:val="none"/>
          <w:vertAlign w:val="baseline"/>
        </w:rPr>
        <w:t xml:space="preserve">  for high-ranking Israeli officials </w:t>
      </w:r>
      <w:hyperlink r:id="rId17" w:history="1">
        <w:r>
          <w:rPr>
            <w:rFonts w:ascii="arial" w:eastAsia="arial" w:hAnsi="arial" w:cs="arial"/>
            <w:b w:val="0"/>
            <w:i/>
            <w:strike w:val="0"/>
            <w:noProof w:val="0"/>
            <w:color w:val="0077CC"/>
            <w:position w:val="0"/>
            <w:sz w:val="20"/>
            <w:u w:val="single"/>
            <w:vertAlign w:val="baseline"/>
          </w:rPr>
          <w:t>, including Tzipi Livni</w:t>
        </w:r>
      </w:hyperlink>
      <w:r>
        <w:rPr>
          <w:rFonts w:ascii="arial" w:eastAsia="arial" w:hAnsi="arial" w:cs="arial"/>
          <w:b w:val="0"/>
          <w:i w:val="0"/>
          <w:strike w:val="0"/>
          <w:noProof w:val="0"/>
          <w:color w:val="000000"/>
          <w:position w:val="0"/>
          <w:sz w:val="20"/>
          <w:u w:val="none"/>
          <w:vertAlign w:val="baseline"/>
        </w:rPr>
        <w:t xml:space="preserve"> , who was issued with a warrant in 2009.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Wilson explained how the procedures around issuing of private arrest warrants have been tightened, with the director of public prosecutions’ consent now required. He also advised that it was possible to apply to the Foreign, Commonwealth and Development Office for “special mission immunity”, a rarely used status, </w:t>
      </w:r>
      <w:hyperlink r:id="rId18" w:history="1">
        <w:r>
          <w:rPr>
            <w:rFonts w:ascii="arial" w:eastAsia="arial" w:hAnsi="arial" w:cs="arial"/>
            <w:b w:val="0"/>
            <w:i/>
            <w:strike w:val="0"/>
            <w:noProof w:val="0"/>
            <w:color w:val="0077CC"/>
            <w:position w:val="0"/>
            <w:sz w:val="20"/>
            <w:u w:val="single"/>
            <w:vertAlign w:val="baseline"/>
          </w:rPr>
          <w:t>previously granted to Livni</w:t>
        </w:r>
      </w:hyperlink>
      <w:r>
        <w:rPr>
          <w:rFonts w:ascii="arial" w:eastAsia="arial" w:hAnsi="arial" w:cs="arial"/>
          <w:b w:val="0"/>
          <w:i w:val="0"/>
          <w:strike w:val="0"/>
          <w:noProof w:val="0"/>
          <w:color w:val="000000"/>
          <w:position w:val="0"/>
          <w:sz w:val="20"/>
          <w:u w:val="none"/>
          <w:vertAlign w:val="baseline"/>
        </w:rPr>
        <w:t xml:space="preserve"> , which confers immunity from prosecution for “a temporary mission, representing a state”.</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Amid large public </w:t>
        </w:r>
      </w:hyperlink>
      <w:hyperlink r:id="rId19"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the governing Israeli coalition – </w:t>
      </w:r>
      <w:hyperlink r:id="rId20" w:history="1">
        <w:r>
          <w:rPr>
            <w:rFonts w:ascii="arial" w:eastAsia="arial" w:hAnsi="arial" w:cs="arial"/>
            <w:b w:val="0"/>
            <w:i/>
            <w:strike w:val="0"/>
            <w:noProof w:val="0"/>
            <w:color w:val="0077CC"/>
            <w:position w:val="0"/>
            <w:sz w:val="20"/>
            <w:u w:val="single"/>
            <w:vertAlign w:val="baseline"/>
          </w:rPr>
          <w:t>the most anti-Arab in the country’s history</w:t>
        </w:r>
      </w:hyperlink>
      <w:r>
        <w:rPr>
          <w:rFonts w:ascii="arial" w:eastAsia="arial" w:hAnsi="arial" w:cs="arial"/>
          <w:b w:val="0"/>
          <w:i w:val="0"/>
          <w:strike w:val="0"/>
          <w:noProof w:val="0"/>
          <w:color w:val="000000"/>
          <w:position w:val="0"/>
          <w:sz w:val="20"/>
          <w:u w:val="none"/>
          <w:vertAlign w:val="baseline"/>
        </w:rPr>
        <w:t xml:space="preserve">  – last month passed a law that </w:t>
      </w:r>
      <w:hyperlink r:id="rId21" w:history="1">
        <w:r>
          <w:rPr>
            <w:rFonts w:ascii="arial" w:eastAsia="arial" w:hAnsi="arial" w:cs="arial"/>
            <w:b w:val="0"/>
            <w:i/>
            <w:strike w:val="0"/>
            <w:noProof w:val="0"/>
            <w:color w:val="0077CC"/>
            <w:position w:val="0"/>
            <w:sz w:val="20"/>
            <w:u w:val="single"/>
            <w:vertAlign w:val="baseline"/>
          </w:rPr>
          <w:t>limited the power of its judiciary to overturn laws</w:t>
        </w:r>
      </w:hyperlink>
      <w:r>
        <w:rPr>
          <w:rFonts w:ascii="arial" w:eastAsia="arial" w:hAnsi="arial" w:cs="arial"/>
          <w:b w:val="0"/>
          <w:i w:val="0"/>
          <w:strike w:val="0"/>
          <w:noProof w:val="0"/>
          <w:color w:val="000000"/>
          <w:position w:val="0"/>
          <w:sz w:val="20"/>
          <w:u w:val="none"/>
          <w:vertAlign w:val="baseline"/>
        </w:rPr>
        <w:t xml:space="preserve">.  It is believed to have been – at least partly – motivated by a desire to shield the prime minister, </w:t>
      </w:r>
      <w:hyperlink r:id="rId2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from corruption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embassy spokesperson said it respected the independence of the British judicial system and “under no circumstances would interfere in UK legal proceedings”. They added: “As part of its ongoing work, the embassy of Israel raises awareness on severe attacks against entities related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it is the duty of the embassies of Israel around the world, including in the UK, to care for and provide assistance to Israelis wherever they 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embassy officials attempted to influence UK court cases, documents suggest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15/oct/17/london-palestine-action-oxford-circus-arms-trade" TargetMode="External" /><Relationship Id="rId12" Type="http://schemas.openxmlformats.org/officeDocument/2006/relationships/hyperlink" Target="https://www.theguardian.com/world/2022/sep/12/what-is-the-law-on-the-right-to-protest-in-the-uk" TargetMode="External" /><Relationship Id="rId13" Type="http://schemas.openxmlformats.org/officeDocument/2006/relationships/hyperlink" Target="https://www.theguardian.com/law/2022/apr/13/colston-four-acquittal-to-be-referred-to-court-of-appeal" TargetMode="External" /><Relationship Id="rId14" Type="http://schemas.openxmlformats.org/officeDocument/2006/relationships/hyperlink" Target="https://www.theguardian.com/law/2022/sep/28/colston-four-protesters-cannot-rely-on-human-rights-defence-top-judge-rules" TargetMode="External" /><Relationship Id="rId15" Type="http://schemas.openxmlformats.org/officeDocument/2006/relationships/hyperlink" Target="https://www.theguardian.com/environment/2023/mar/08/court-restrictions-on-climate-protesters-deeply-concerning-say-leading-lawyers" TargetMode="External" /><Relationship Id="rId16" Type="http://schemas.openxmlformats.org/officeDocument/2006/relationships/hyperlink" Target="https://www.theguardian.com/world/2010/jan/05/israel-war-crimes-warrants-britain" TargetMode="External" /><Relationship Id="rId17" Type="http://schemas.openxmlformats.org/officeDocument/2006/relationships/hyperlink" Target="https://www.theguardian.com/world/2009/dec/14/tzipi-livni-israel-gaza-arrest" TargetMode="External" /><Relationship Id="rId18" Type="http://schemas.openxmlformats.org/officeDocument/2006/relationships/hyperlink" Target="https://www.theguardian.com/world/2011/oct/06/tzipi-livni-war-crime-arrest-threat" TargetMode="External" /><Relationship Id="rId19" Type="http://schemas.openxmlformats.org/officeDocument/2006/relationships/hyperlink" Target="https://www.theguardian.com/world/2023/jul/24/us-jewish-groups-protest-israel-judicial-parliament-democracy-threat" TargetMode="External" /><Relationship Id="rId2" Type="http://schemas.openxmlformats.org/officeDocument/2006/relationships/webSettings" Target="webSettings.xml" /><Relationship Id="rId20" Type="http://schemas.openxmlformats.org/officeDocument/2006/relationships/hyperlink" Target="https://www.theguardian.com/world/2022/dec/21/benjamin-netanyahu-israel-rightwing-government" TargetMode="External" /><Relationship Id="rId21" Type="http://schemas.openxmlformats.org/officeDocument/2006/relationships/hyperlink" Target="https://www.theguardian.com/world/2023/jul/24/israeli-parliament-votes-in-netanyahu-controversial-supreme-court-changes" TargetMode="External" /><Relationship Id="rId22" Type="http://schemas.openxmlformats.org/officeDocument/2006/relationships/hyperlink" Target="https://www.theguardian.com/world/benjamin-netanyahu"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09-1181-JBNF-W09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embassy officials attempted to influence UK court cases, documents suggest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