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are European governments clamping down on 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take place across the continent, many nations are using their own laws to ban events – with little protection from EU laws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weeks that followed 7 October, when Hamas’s killing of 1,400 people in Israel triggered the bloody war with Israel, about a quarter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registered with the authorities in Germany’s main cities were banned. According to the newspaper Der Spiegel, 90% of those that went ahead had conditions imposed upon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it took the intervention of the highest administrative court to stymy a plan by that country’s interior minister, Gérald Darmanin, to prohibit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those calling for a ceasefire. Since then, local prefects are making an assessment on a case-by-case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Europe,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prohibited in Austria, Switzerland and Hungary, to name a few, while a row in the UK over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that took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led to a rupture between Downing Street and the Metropolitan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of Amnesty International has been to remind national governments that they “have a legal obligation to ensure that people are able to peacefully express their grief, concerns and their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argued by some that the past few weeks have further highlighted the fragility of the ecosystem of national laws and supranational rights relating to the European tradition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“Technically, there’s no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per se that’s protected by an article in the European convention on human rights,” said Richard Martin, an assistant professor of law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“So it’s a combination of freedom of expression, and freedom of assembly across articles 10 and 11 that are doing the work. But crucially, they’re qualified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they’re saying is things like that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protected by these rights, but the states can rely on a number of legitimate aims to qualify those rights, to enact laws and allow police powers to interfere with those rights, lawfully. So really, what the ECHR is doing is providing a framework for limiting some of these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country to country, the laws around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vary, with cultural contexts reflected in the legislation, but campaigners say the latest developments in the Middle East have supercharged a trend towards more restrictive legal frameworks.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a law regulating measures relating to the strengthening of the maintenance of public order provides the authorities with the power to ban a planned demonstration deemed “likely to disturb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remains a high cultural tolerance of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 rejection of Darmanin’s call for a blanket ban suggests. However, Lord Carlile, the former independent reviewer of terror legislation in the UK, noted that police methods of dispersal in France have become more robust in recent years, with more powers to deal with the violence that erupted during the “gilet jaunes” and some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don’t give the police teargas, we don’t give them water hoses,” Carlile said of the British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parliament passed controversial legislation in 2021 criminalising “the identification of an officer of the national police, a member of the national gendarmerie or an officer of the municipal police when they are taking part in a police operation”, and set a punishment of five years in prison and a fine of €75,000 (£65,600).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authorities can prohibit an assembly if it could endanger public safety or order, albeit the risk must come from the demonstration as a whole, not just some participants. In Berlin, two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five-digit numbers of participants took place in recent days but German responsibility for the Holocaust has been cited as a reason for a lack of tolerance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risks fuelling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Holocaust denial is illegal in Germany, as are slogans that directly reference nazism. Berlin police said they had prohibited a large number of proposed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based on “an imminent danger that the gatherings would lead to incitement to hatred, antisemitic statements, glorification of violence, incitement to violence and thus to intimidation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argued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that an understandable desire to protect people from hateful speech has suffocated movements that want to highlight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article 11 of the European convention on human rights is enshrined in domestic law in the 1998 Human Rights Act but the legislation around when the police can apply conditions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developing in recent years with the definition of a “risk of serious disruption” recently redefined to include when there is a “more than minor” hindrance to daily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raft of conditions were applied on last Saturday’s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but the police were still not able to justify banning the event. Such prohibitions have been rare and has been largely imposed on far-right processions that have been pointedly organised to cause trouble. Downing Street has suggested it is now hoping to strengthen the powers of the home secretary and the police to ban demonstrations ahead of time to take into account factors other than the current threshold for action of a risk of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said in defence of the ECHR that it had been strikingly progressive in recognising that people have a prima facie right to disrupt and engage in civil disobedience, including through climbing into trees and using “go slow” techniques to block public highways. However, national governments were given a “wide margin of appreciation” in justifying interference in those taking advantage of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 critiques of the European convention in this area is that really it just provides a means of legitimising state action,” he said. “Because ultimately, the state gets its way because it can put forward defences that say, ‘We did need to intervene in this for reasons of protection of others of safety’. That’s a big critique: that it ends up just being a mode of state justification.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that’s qualified by the fact that it’s still giving you something to challenge the police by because, as soon as that right is engaged, the police have to show that they need to be able to show the actions that they took are necessary and proportionate. So at the very least, it is requiring the police to be able to account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Barbora Bukovská, a senior director for law and policy at the rights advocacy group Article 19, said she did not believe the ECHR was a fragile defence but that governments were now knocking up against the rights contained in the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deeply problematic is the proliferation of restrictive laws around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many European countries that negatively impact people’s ability to exercise their rights,”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include issues like prior-notification or excessive notification requirements, prior restraint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overbroad prohibitions relating to ‘time, place and manner’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Many of those fail to meet international human rights standards. The UK’s public order bill, with its broad definition of ‘serious disruption’ and introduction of offences criminalising many of traditional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 such as locking on, is a good example of this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laws, coupled with considerable discretion awarded to authorities exercising law enforcement duties, can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violate the rights of people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Sacha Deshmukh, Amnesty International UK’s chief executive,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not be beholden to the whim of governments. “Many people are taking to the streets across the world to show support for Palestinians and demand a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Europe, we are seeing many countries restricting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whether that’s targeting certain chants, Palestinian flags and signs, to subjecting protesters to police brutality and arrest. In some cases,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banned altogether.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subject to the opinions of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17 November 2023 because an earlier version referred to Sacha Deshmukh as “she” rather than “he”.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European governments clamping down on the right to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7-S111-DY4H-K2J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are European governments clamping down on the right to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