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One in four countries beset by civil strife as global unrest soars; Researchers predict worldwide turmoil will continue in 2020, with Venezuela, Iran and Libya at greatest risk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2020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Saeed Kamali Dehghan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quarter of all countries experienced a dramatic surge in civil unrest last year in a worrying trend that is likely to continue into 2020, researchers have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Verisk Maplecroft, a leading risk analysis and strategic forecasting company, said in a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published on Thursday that 47 countries experienced a significant rise in the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course of the past year. Hong Kong, Chile, Nigeria, Sudan, Haiti and Lebanon were among the states affected.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Sudan, where </w:t>
      </w:r>
      <w:hyperlink r:id="rId10" w:history="1">
        <w:r>
          <w:rPr>
            <w:rFonts w:ascii="arial" w:eastAsia="arial" w:hAnsi="arial" w:cs="arial"/>
            <w:b w:val="0"/>
            <w:i/>
            <w:strike w:val="0"/>
            <w:noProof w:val="0"/>
            <w:color w:val="0077CC"/>
            <w:position w:val="0"/>
            <w:sz w:val="20"/>
            <w:u w:val="single"/>
            <w:vertAlign w:val="baseline"/>
          </w:rPr>
          <w:t>the 30-year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presidency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Omar al-Bashir</w:t>
        </w:r>
      </w:hyperlink>
      <w:r>
        <w:rPr>
          <w:rFonts w:ascii="arial" w:eastAsia="arial" w:hAnsi="arial" w:cs="arial"/>
          <w:b w:val="0"/>
          <w:i w:val="0"/>
          <w:strike w:val="0"/>
          <w:noProof w:val="0"/>
          <w:color w:val="000000"/>
          <w:position w:val="0"/>
          <w:sz w:val="20"/>
          <w:u w:val="none"/>
          <w:vertAlign w:val="baseline"/>
        </w:rPr>
        <w:t xml:space="preserve"> ended last year, overtook war-stricken Yemen to rank top in Verisk Maplecroft's civil unrest index.</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Hong Kong</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Chile</w:t>
        </w:r>
      </w:hyperlink>
      <w:r>
        <w:rPr>
          <w:rFonts w:ascii="arial" w:eastAsia="arial" w:hAnsi="arial" w:cs="arial"/>
          <w:b w:val="0"/>
          <w:i w:val="0"/>
          <w:strike w:val="0"/>
          <w:noProof w:val="0"/>
          <w:color w:val="000000"/>
          <w:position w:val="0"/>
          <w:sz w:val="20"/>
          <w:u w:val="none"/>
          <w:vertAlign w:val="baseline"/>
        </w:rPr>
        <w:t xml:space="preserve"> were deemed the world's "riskiest locations" in terms of the severity and frequency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the report, which predicted that the situation was unlikely to improve in either country over the next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 was identified as the most dangerous place to be a protestor.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is based on a range of the company's risk indices, including those charting civil unrest, security forces and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pent-up rage that has boiled over into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past year has caught most governments by surprise," said the report, adding that even if tackled immediately, "most of the grievances are deeply entrenched and would take years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researchers predicted continued turmoil in 2020 for "a host of governments ill-prepared to handle ongoing bursts of public discontent". They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likely to increase in 75 countries over the next six months, including China, Turkey, Saudi Arabia, Russia and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continuing to rage across the globe, we expect both the intensity of civil unrest, as well as the total number of countries experiencing disruption, to rise over the coming 12 months," the study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Haynes, head of risk analytics at Verisk Maplecroft and a co-author of the report, identified the 10 countries most at risk of unrest as Venezuela, Iran, Libya, Guinea, Nigeria, Pakistan, Bangladesh, Chile,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Ethiopia, "in that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Miha Hribernik, the report's other co-author and head of Asia risk insight at Verisk Maplecroft, said 10% of countries overall are rated as "extreme risk" in 2020, compared with 5%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reasons behind the increase are complex and driven by a mix of domestic factors. Nevertheless, while each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unique, a large number of them have been driven by similar grievances," said Hribernik.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stagnating incomes and rising inequality in the decade following the global economic crisis, the loss of trust in traditional political elites, corruption, and the erosion of civil and political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Africa witnessed the biggest increase in civil unrest over 2019, followed by east Asia, mainly due to events in Hong Kong, according to Hribernik.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east Africa, Ethiopia has been the most affected by an increase in civil unrest, dropping into the extreme risk category during 2019. This is explained largely by a surge in tensions between the government and ethnic minorities, who claim they are economically and politically marginalised,"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efforts by Ethiopia's prime minister, Abiy Ahmed, to alleviate the tensions by co-opting major ethnic groups into the restructure of the ruling party, Hribernik said a further spike in civil unrest is likely in the next six months if elections are delayed or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Sudan, the absence of functioning institutions, he added, means "opposition groups and Darfur militias have little opportunity but to pursue civil unrest".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 four countries beset by civil strife as global unrest soars Researchers predict worldwide turmoil will continue in 2020, with Venezuela , Iran and Libya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aplecroft.com/insights/analysis/47-countries-witness-surge-in-civil-unre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F-SD91-JCJY-G1Y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in four countries beset by civil strife as global unrest soars Researchers predict worldwide turmoil will continue in 2020, with Venezuela , Iran and Libya at greatest risk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Doc::urn:hlct:16|contextualFeaturePermID::1519360</vt:lpwstr>
  </property>
  <property fmtid="{D5CDD505-2E9C-101B-9397-08002B2CF9AE}" pid="5" name="UserPermID">
    <vt:lpwstr>urn:user:PA195023767</vt:lpwstr>
  </property>
</Properties>
</file>