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Pro-Palestinians target Barclays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COURTNEY-GUY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activists have been attacking branches of Barclays in an organised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 it had targeted 20 sites as glass fronts were smashed and red paint sprayed over the banks. Attacks took place in cities that included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Edinburgh, Glasgow, Manchester and Brighton.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Shut the System, a recently launched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also took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accused Barclays of 'funding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demanded 'the bank divests from Israel's weapons trade and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told the BBC: 'While we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ask that campaigners do so in a way which respects our customers, colleagues and property.' In Edinburgh, activists said they pelted one branch with rocks inscribed with the names of Palestinians killed in the conflict while the windows of the city centre branch in Bristol were smashed.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 three men, aged between 34 and 45, had been arrested in connection with criminal damage at the Barclays at Moorgate.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said it 'provides vital financial services to US, UK and European public companies that supply defence products to Nato and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decisions on arms embargoes to other nations 'are the job of respective elected governments'.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Daubed: Barclays in St Johns Wood,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is covered in red paint PICTURE: 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Pro-Palestinians target Barclays in protest at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B-XXX1-JCBW-N1T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Pro-Palestinians target Barclays in protest at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