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Cheltenham Festival cuts ties with Baillie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Cheltenham Literature Festival and Baillie Gifford have been forced to cut ties after threats of a boycott by activists campaigning against fossil fuels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end of the investment firm's relationship with the Hay Festival and the Edinburgh International Book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festivals have been targeted by Fossil Free Books, a campaign group calling on authors to withdraw or make statements on stage. The group has highlighted Baillie Gifford's investments in firms linked to the fossil fuel industry and to Israel's defence, technology and cybersecurity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at Cheltenham said it was "with sadness that we announce the withdrawal of a major sponsor, Baillie Gifford".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"We would not have chosen to find ourselves in this position. We believe that change is only possible if we as a culture make it together. Engagement with festivals like ours - by readers, writers, policymakers and indeed by sponsors - is a crucial means of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Niven, the director of the Edinburgh International Book Festival, told The Times that "we were already beginning to see people who don't particularly align themselves with the campaign but fear that this is not good publicity for their books to be involved with this" and "enormous peer pressure was beginning to build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Church, Nish Kumar and the Labour MP Dawn Butler were among the speakers who pulled out of the Hay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emails seen by The Telegraph, Fossil Fuel Books wrote to authors appearing there to "recommend" that they withdraw from the festival or make a statement on stage. The "creative action" suggested included calling for Baillie Gifford "to divest from companies complicit in Israeli apartheid, occupation and genocide in line with international law, as well as from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later email claimed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would be at the festival </w:t>
      </w:r>
      <w:hyperlink r:id="rId10" w:history="1">
        <w:r>
          <w:rPr>
            <w:rFonts w:ascii="arial" w:eastAsia="arial" w:hAnsi="arial" w:cs="arial"/>
            <w:b w:val="0"/>
            <w:i/>
            <w:strike w:val="0"/>
            <w:noProof w:val="0"/>
            <w:color w:val="0077CC"/>
            <w:position w:val="0"/>
            <w:sz w:val="20"/>
            <w:u w:val="single"/>
            <w:vertAlign w:val="baseline"/>
          </w:rPr>
          <w:t>www.entrance.No</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Thomas, partner at Baillie Gifford, condemned the activists' "anonymous campaign of coercion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hold the activists squarely responsible for the inhibiting effect their action will have on funding for the arts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has said only 2 per cent of clients' funds are invested in companies with fossil fuel links and denied that it is a large investor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invested approximately $19billion in technology firms such as Amazon, NVIDIA and Meta, which have commercial dealings with Israel "that are tiny in the context of all of their overall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the activists squarely responsible for the inhibiting effect their action will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Cheltenham Festival cuts ties with Baillie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ntranc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8-RND1-DYTY-C08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Cheltenham Festival cuts ties with Baillie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