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Give pupils 'safe space' for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says Muslim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could face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unrest in the occupied Palestinian territories after the Muslim Council of Britain said it would work with unions to make sure students have "safe spaces" for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had heard of a number of cases where students displaying Palestinian flags or supporting pro-Palestinian views had been reprimanded.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was "engaging with key stakeholders within the education sector" to "support concerns" regarding issues raised at Allerton Grange school, after the head teacher called the flag a "call to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Leeds school faced a "barrage" of online criticism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after head teacher Mike Roper made the comments in an assembly. He later apologised and said external speakers would be brought into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made by the headmaster were inaccurate and unacceptable. Schools should be able to facilitate safe spaces for dialogue on important global human rights," the Muslim Council of Britain said in a statement. "It is important to assert that safeguarding children from becoming marginalised, or being victimised, in this way falls well within the remit of this duty of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safeguard children in the face of the current climate of increased hostility towards Muslim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BAME - schoolchildren is acute. The incident demonstrates the importance of engagement and consultation between parents and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MCB is planning to speak to educational experts at a national level, including teachers and teaching unions, about how students are allowed to voice their support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at Allerton Grange were reportedly told not to wear lanyards with the Palestinian flag on, and posters were removed. In an assembly, which was intended to defuse tensions, Mr Roper said the flag is seen by some as "a call to arms and seen as a message of support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activists then gathered outside the school on Monday afternoon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Some parents expressed concern that the protesters had no links 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schools have a duty to ensure political impartiality, but this should not restrict the expression of senior pupils. However, this expression should not be disruptive or breach a schools' behaviour policy, sources said. Madeline Grant: Page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should be able to facilitate safe spaces for dialogue on important global human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pupils 'safe space' for Gaza protests, says Muslim group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7-0P71-JCBW-N18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 pupils 'safe space' for Gaza protests, says Muslim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