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education;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As a teacher of English at a large comprehensive school, I was sometimes asked to cover the odd history lesson as I had quite a keen interest in the subject. I was dismayed to find that my pupils - who were deemed to be the more academically able of their peers - had very little knowledge of the two world wars, and no knowledge of the history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had been in the British education system for at least 10 years. I sometimes wonder if any of them have been among the crowds marching in support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Woolcock Preston, Lancashire SIR - You report (November 17) that, according to Sir Mark Rowley, the Metropolitan Police commissioner, officers cannot stop pro-Palestinian protesters climbing on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memorials mean a great deal to us. They are a lasting, physical presence, and part of our culture. I question the education afforded to those who act in a way that belittles our heroes, who laid down their young lives in the field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use these memorials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given no reason to doubt that British people do not tolerate this lack of respect for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Marks Chester SIR - I was deeply concerned to read a report headline (November 16) which asserted that Christmas decorations in Bethlehem would be cancelled this year "to honour Hamas 'martyrs'", and relieved to see that it had been corrected the same day in the online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misunderstanding can be gained if one doesn't grasp the way that Palestinians use the word "martyr". It is applied to anyone - man, woman, child or baby - who dies as a result of the conflict with Israel. It does not refer specifically to those who engage in an armed uprising, and the churches reject violence as a way to oppose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leaders in the Holy Land have called for Christmas festivities to be subdued this year to reflect a time of sadness and grief owing to the continuing war in Gaza, and to stand strong with those facing such afflictions.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leaders have also called for Christians in the Holy Land to keep a spiritual focus through Advent and Christmas. In this time of distressing international conflict, it is a message that all people of faith would do well to heed.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Rev Canon Richard Sewell Dean of St George's College, Jerusalem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education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D-S4Y1-JCBW-N42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education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