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Arial" w:hAnsi="Arial"/>
          <w:b/>
          <w:color w:val="059669"/>
          <w:sz w:val="17"/>
        </w:rPr>
        <w:t>DOSSIA PLATFORM SPECIFICATION • CONFIDENTIAL / CLINICAL ARCHITECTURE SPECIFICATION</w:t>
      </w:r>
    </w:p>
    <w:p>
      <w:pPr>
        <w:spacing w:before="80" w:after="40"/>
      </w:pPr>
      <w:r>
        <w:rPr>
          <w:rFonts w:ascii="Arial" w:hAnsi="Arial"/>
          <w:b/>
          <w:color w:val="18181B"/>
          <w:sz w:val="48"/>
        </w:rPr>
        <w:t>Dossia — Architecture &amp; Technical Master Specification</w:t>
      </w:r>
    </w:p>
    <w:p>
      <w:pPr>
        <w:spacing w:before="0" w:after="320"/>
      </w:pPr>
      <w:r>
        <w:rPr>
          <w:rFonts w:ascii="Arial" w:hAnsi="Arial"/>
          <w:color w:val="71717A"/>
          <w:sz w:val="24"/>
        </w:rPr>
        <w:t>The Digital Operating System for Moroccan Private Medical Cabinets &amp; Clinics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4680"/>
        <w:gridCol w:w="4680"/>
      </w:tblGrid>
      <w:tr>
        <w:tc>
          <w:tcPr>
            <w:tcW w:type="dxa" w:w="2592"/>
            <w:tcMar>
              <w:top w:w="80" w:type="dxa"/>
              <w:bottom w:w="80" w:type="dxa"/>
              <w:left w:w="100" w:type="dxa"/>
              <w:right w:w="100" w:type="dxa"/>
            </w:tcMar>
            <w:shd w:fill="F4F4F5"/>
          </w:tcPr>
          <w:p>
            <w:pPr>
              <w:spacing w:after="0"/>
            </w:pPr>
            <w:r>
              <w:rPr>
                <w:rFonts w:ascii="Arial" w:hAnsi="Arial"/>
                <w:b/>
                <w:color w:val="18181B"/>
                <w:sz w:val="18"/>
              </w:rPr>
              <w:t>Platform Version:</w:t>
            </w:r>
          </w:p>
        </w:tc>
        <w:tc>
          <w:tcPr>
            <w:tcW w:type="dxa" w:w="6768"/>
            <w:tcMar>
              <w:top w:w="80" w:type="dxa"/>
              <w:bottom w:w="80" w:type="dxa"/>
              <w:left w:w="100" w:type="dxa"/>
              <w:right w:w="100" w:type="dxa"/>
            </w:tcMar>
          </w:tcPr>
          <w:p>
            <w:pPr>
              <w:spacing w:after="0"/>
            </w:pPr>
            <w:r>
              <w:rPr>
                <w:rFonts w:ascii="Arial" w:hAnsi="Arial"/>
                <w:color w:val="3F3F46"/>
                <w:sz w:val="18"/>
              </w:rPr>
              <w:t>2.5.0-SNAPSHOT</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Publication Date:</w:t>
            </w:r>
          </w:p>
        </w:tc>
        <w:tc>
          <w:tcPr>
            <w:tcW w:type="dxa" w:w="6768"/>
            <w:tcMar>
              <w:top w:w="80" w:type="dxa"/>
              <w:bottom w:w="80" w:type="dxa"/>
              <w:left w:w="100" w:type="dxa"/>
              <w:right w:w="100" w:type="dxa"/>
            </w:tcMar>
          </w:tcPr>
          <w:p>
            <w:pPr>
              <w:spacing w:after="0"/>
            </w:pPr>
            <w:r>
              <w:rPr>
                <w:rFonts w:ascii="Arial" w:hAnsi="Arial"/>
                <w:color w:val="3F3F46"/>
                <w:sz w:val="18"/>
              </w:rPr>
              <w:t>October 16, 2026</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Legal Regulations:</w:t>
            </w:r>
          </w:p>
        </w:tc>
        <w:tc>
          <w:tcPr>
            <w:tcW w:type="dxa" w:w="6768"/>
            <w:tcMar>
              <w:top w:w="80" w:type="dxa"/>
              <w:bottom w:w="80" w:type="dxa"/>
              <w:left w:w="100" w:type="dxa"/>
              <w:right w:w="100" w:type="dxa"/>
            </w:tcMar>
          </w:tcPr>
          <w:p>
            <w:pPr>
              <w:spacing w:after="0"/>
            </w:pPr>
            <w:r>
              <w:rPr>
                <w:rFonts w:ascii="Arial" w:hAnsi="Arial"/>
                <w:color w:val="3F3F46"/>
                <w:sz w:val="18"/>
              </w:rPr>
              <w:t>CNDP Loi 09-08 • ANAM / CNSS AMO Standards • Code Général des Impôts (ICE/MAD)</w:t>
            </w:r>
          </w:p>
        </w:tc>
      </w:tr>
      <w:tr>
        <w:tc>
          <w:tcPr>
            <w:tcW w:type="dxa" w:w="2592"/>
            <w:tcMar>
              <w:top w:w="80" w:type="dxa"/>
              <w:bottom w:w="80" w:type="dxa"/>
              <w:left w:w="100" w:type="dxa"/>
              <w:right w:w="100" w:type="dxa"/>
            </w:tcMar>
            <w:shd w:fill="F4F4F5"/>
          </w:tcPr>
          <w:p>
            <w:pPr>
              <w:spacing w:after="0"/>
            </w:pPr>
            <w:r>
              <w:rPr>
                <w:rFonts w:ascii="Arial" w:hAnsi="Arial"/>
                <w:b/>
                <w:color w:val="18181B"/>
                <w:sz w:val="18"/>
              </w:rPr>
              <w:t>System Architecture:</w:t>
            </w:r>
          </w:p>
        </w:tc>
        <w:tc>
          <w:tcPr>
            <w:tcW w:type="dxa" w:w="6768"/>
            <w:tcMar>
              <w:top w:w="80" w:type="dxa"/>
              <w:bottom w:w="80" w:type="dxa"/>
              <w:left w:w="100" w:type="dxa"/>
              <w:right w:w="100" w:type="dxa"/>
            </w:tcMar>
          </w:tcPr>
          <w:p>
            <w:pPr>
              <w:spacing w:after="0"/>
            </w:pPr>
            <w:r>
              <w:rPr>
                <w:rFonts w:ascii="Arial" w:hAnsi="Arial"/>
                <w:color w:val="3F3F46"/>
                <w:sz w:val="18"/>
              </w:rPr>
              <w:t>Spring Modulith (Java 21) • React 18 / Tailwind v4 • PostgreSQL 16 • Nginx</w:t>
            </w:r>
          </w:p>
        </w:tc>
      </w:tr>
    </w:tbl>
    <w:p>
      <w:pPr>
        <w:spacing w:before="320" w:after="200"/>
      </w:pPr>
    </w:p>
    <w:p>
      <w:pPr>
        <w:keepNext/>
        <w:spacing w:before="440" w:after="120"/>
      </w:pPr>
      <w:r>
        <w:rPr>
          <w:rFonts w:ascii="Arial" w:hAnsi="Arial"/>
          <w:b/>
          <w:color w:val="18181B"/>
          <w:sz w:val="32"/>
        </w:rPr>
        <w:t>1. Executive Summary &amp; Moroccan Clinical Ecosystem</w:t>
      </w:r>
    </w:p>
    <w:p>
      <w:pPr>
        <w:spacing w:before="0" w:after="120" w:line="276" w:lineRule="auto"/>
      </w:pPr>
      <w:r>
        <w:rPr>
          <w:rFonts w:ascii="Arial" w:hAnsi="Arial"/>
          <w:color w:val="3F3F46"/>
          <w:sz w:val="20"/>
        </w:rPr>
        <w:t>Dossia is an enterprise-grade medical operating system tailored specifically for Moroccan private practices and healthcare clinics. It resolves the severe friction between clinical consultations, fast-paced front-desk reception, CNDP patient privacy regulations, and complex social security reimbursement processes (AMO / CNSS / CNOPS).</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40" w:type="dxa"/>
              <w:bottom w:w="140" w:type="dxa"/>
              <w:left w:w="240" w:type="dxa"/>
              <w:right w:w="200" w:type="dxa"/>
            </w:tcMar>
          </w:tcPr>
          <w:p>
            <w:pPr>
              <w:spacing w:before="0" w:after="0" w:line="276" w:lineRule="auto"/>
            </w:pPr>
            <w:r>
              <w:rPr>
                <w:rFonts w:ascii="Arial" w:hAnsi="Arial"/>
                <w:b/>
                <w:color w:val="059669"/>
                <w:sz w:val="19"/>
              </w:rPr>
              <w:t xml:space="preserve">THE SECRETARY-FIRST PHILOSOPHY (3-SECOND SLA): </w:t>
            </w:r>
            <w:r>
              <w:rPr>
                <w:rFonts w:ascii="Arial" w:hAnsi="Arial"/>
                <w:color w:val="18181B"/>
                <w:sz w:val="19"/>
              </w:rPr>
              <w:t>Operating Reality: A Moroccan medical secretary manages 30 to 60 patients daily while fielding continuous phone inquiries, checking in unscheduled walk-ins, and collecting payments. Dossia enforces a strict '3-Second SLA': any critical front-desk action—appointment booking, waiting-room check-in, direct cash/TPE encaissement, or Feuille de Soins generation—must execute in under 3 seconds with zero layout shifts and keyboard-first navigation (Ctrl+K).</w:t>
            </w:r>
          </w:p>
        </w:tc>
      </w:tr>
    </w:tbl>
    <w:p>
      <w:pPr>
        <w:spacing w:before="80" w:after="160"/>
      </w:pPr>
    </w:p>
    <w:p>
      <w:pPr>
        <w:keepNext/>
        <w:spacing w:before="280" w:after="80"/>
      </w:pPr>
      <w:r>
        <w:rPr>
          <w:rFonts w:ascii="Arial" w:hAnsi="Arial"/>
          <w:b/>
          <w:color w:val="059669"/>
          <w:sz w:val="25"/>
        </w:rPr>
        <w:t>Moroccan Domain &amp; Regulatory Pillars</w:t>
      </w:r>
    </w:p>
    <w:p>
      <w:pPr>
        <w:spacing w:before="0" w:after="120" w:line="276" w:lineRule="auto"/>
      </w:pPr>
      <w:r>
        <w:rPr>
          <w:rFonts w:ascii="Arial" w:hAnsi="Arial"/>
          <w:b/>
          <w:color w:val="18181B"/>
          <w:sz w:val="20"/>
        </w:rPr>
        <w:t xml:space="preserve">• AMO / CNSS Automation: </w:t>
      </w:r>
      <w:r>
        <w:rPr>
          <w:rFonts w:ascii="Arial" w:hAnsi="Arial"/>
          <w:color w:val="3F3F46"/>
          <w:sz w:val="20"/>
        </w:rPr>
        <w:t>Automatic population of standardized Feuilles de Soins (FIP-1 to FIP-8) with patient CIN, CNSS registration, and practitioner INPE (9 digits).</w:t>
      </w:r>
    </w:p>
    <w:p>
      <w:pPr>
        <w:spacing w:before="0" w:after="120" w:line="276" w:lineRule="auto"/>
      </w:pPr>
      <w:r>
        <w:rPr>
          <w:rFonts w:ascii="Arial" w:hAnsi="Arial"/>
          <w:b/>
          <w:color w:val="18181B"/>
          <w:sz w:val="20"/>
        </w:rPr>
        <w:t xml:space="preserve">• Strict MAD Caisse Accounting: </w:t>
      </w:r>
      <w:r>
        <w:rPr>
          <w:rFonts w:ascii="Arial" w:hAnsi="Arial"/>
          <w:color w:val="3F3F46"/>
          <w:sz w:val="20"/>
        </w:rPr>
        <w:t>All financial records and daily cash balances are computed using non-floating BigDecimal (10, 2) arithmetic with HALF_UP rounding in Moroccan Dirhams (MAD).</w:t>
      </w:r>
    </w:p>
    <w:p>
      <w:pPr>
        <w:spacing w:before="0" w:after="120" w:line="276" w:lineRule="auto"/>
      </w:pPr>
      <w:r>
        <w:rPr>
          <w:rFonts w:ascii="Arial" w:hAnsi="Arial"/>
          <w:b/>
          <w:color w:val="18181B"/>
          <w:sz w:val="20"/>
        </w:rPr>
        <w:t xml:space="preserve">• CNDP Law 09-08 Compliance: </w:t>
      </w:r>
      <w:r>
        <w:rPr>
          <w:rFonts w:ascii="Arial" w:hAnsi="Arial"/>
          <w:color w:val="3F3F46"/>
          <w:sz w:val="20"/>
        </w:rPr>
        <w:t>National medical data privacy compliance enforcing complete clinic tenant isolation, non-destructive soft deletes (deleted_at), and strict audit logging.</w:t>
      </w:r>
    </w:p>
    <w:p>
      <w:pPr>
        <w:keepNext/>
        <w:spacing w:before="440" w:after="120"/>
      </w:pPr>
      <w:r>
        <w:rPr>
          <w:rFonts w:ascii="Arial" w:hAnsi="Arial"/>
          <w:b/>
          <w:color w:val="18181B"/>
          <w:sz w:val="32"/>
        </w:rPr>
        <w:t>2. System &amp; Container Architecture</w:t>
      </w:r>
    </w:p>
    <w:p>
      <w:pPr>
        <w:spacing w:before="0" w:after="120" w:line="276" w:lineRule="auto"/>
      </w:pPr>
      <w:r>
        <w:rPr>
          <w:rFonts w:ascii="Arial" w:hAnsi="Arial"/>
          <w:color w:val="3F3F46"/>
          <w:sz w:val="20"/>
        </w:rPr>
        <w:t>Dossia is built on a clean containerized architecture orchestrated via Docker Compose. The Spring Modulith backend enforces modular boundaries, while Nginx terminates TLS and manages unbuffered Server-Sent Events (SSE) connections for real-time waiting room updates.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Component</w:t>
            </w:r>
          </w:p>
        </w:tc>
        <w:tc>
          <w:tcPr>
            <w:tcW w:type="dxa" w:w="3168"/>
            <w:shd w:fill="059669"/>
            <w:tcMar>
              <w:top w:w="100" w:type="dxa"/>
              <w:bottom w:w="100" w:type="dxa"/>
              <w:left w:w="120" w:type="dxa"/>
              <w:right w:w="120" w:type="dxa"/>
            </w:tcMar>
          </w:tcPr>
          <w:p>
            <w:pPr>
              <w:spacing w:after="0"/>
            </w:pPr>
            <w:r>
              <w:rPr>
                <w:rFonts w:ascii="Arial" w:hAnsi="Arial"/>
                <w:b/>
                <w:color w:val="FFFFFF"/>
                <w:sz w:val="19"/>
              </w:rPr>
              <w:t>Technology Stack</w:t>
            </w:r>
          </w:p>
        </w:tc>
        <w:tc>
          <w:tcPr>
            <w:tcW w:type="dxa" w:w="3600"/>
            <w:shd w:fill="059669"/>
            <w:tcMar>
              <w:top w:w="100" w:type="dxa"/>
              <w:bottom w:w="100" w:type="dxa"/>
              <w:left w:w="120" w:type="dxa"/>
              <w:right w:w="120" w:type="dxa"/>
            </w:tcMar>
          </w:tcPr>
          <w:p>
            <w:pPr>
              <w:spacing w:after="0"/>
            </w:pPr>
            <w:r>
              <w:rPr>
                <w:rFonts w:ascii="Arial" w:hAnsi="Arial"/>
                <w:b/>
                <w:color w:val="FFFFFF"/>
                <w:sz w:val="19"/>
              </w:rPr>
              <w:t>Architectural Role &amp; Scope</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Spring Modulith Backend</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Java 21, Spring Boot 3.4.x, Spring Modulith, Virtual Threads, OpenPDF</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Modular monolith hosting bounded domain contexts, event bus, multi-tenant security filters, and PDF document rendering engines.</w:t>
            </w:r>
          </w:p>
        </w:tc>
      </w:tr>
      <w:tr>
        <w:tc>
          <w:tcPr>
            <w:tcW w:type="dxa" w:w="2592"/>
            <w:shd w:fill="F8FAFC"/>
            <w:tcMar>
              <w:top w:w="90" w:type="dxa"/>
              <w:bottom w:w="90" w:type="dxa"/>
              <w:left w:w="120" w:type="dxa"/>
              <w:right w:w="120" w:type="dxa"/>
            </w:tcMar>
          </w:tcPr>
          <w:p>
            <w:pPr>
              <w:spacing w:after="0" w:line="264" w:lineRule="auto"/>
            </w:pPr>
            <w:r>
              <w:rPr>
                <w:rFonts w:ascii="Arial" w:hAnsi="Arial"/>
                <w:b/>
                <w:color w:val="18181B"/>
                <w:sz w:val="18"/>
              </w:rPr>
              <w:t>React 18 SPA Frontend</w:t>
            </w:r>
          </w:p>
        </w:tc>
        <w:tc>
          <w:tcPr>
            <w:tcW w:type="dxa" w:w="3168"/>
            <w:shd w:fill="F8FAFC"/>
            <w:tcMar>
              <w:top w:w="90" w:type="dxa"/>
              <w:bottom w:w="90" w:type="dxa"/>
              <w:left w:w="120" w:type="dxa"/>
              <w:right w:w="120" w:type="dxa"/>
            </w:tcMar>
          </w:tcPr>
          <w:p>
            <w:pPr>
              <w:spacing w:after="0" w:line="264" w:lineRule="auto"/>
            </w:pPr>
            <w:r>
              <w:rPr>
                <w:rFonts w:ascii="Arial" w:hAnsi="Arial"/>
                <w:color w:val="3F3F46"/>
                <w:sz w:val="18"/>
              </w:rPr>
              <w:t>React 18, TypeScript, Vite, Tailwind CSS v4, Zustand, Lucide, Three.js</w:t>
            </w:r>
          </w:p>
        </w:tc>
        <w:tc>
          <w:tcPr>
            <w:tcW w:type="dxa" w:w="3600"/>
            <w:shd w:fill="F8FAFC"/>
            <w:tcMar>
              <w:top w:w="90" w:type="dxa"/>
              <w:bottom w:w="90" w:type="dxa"/>
              <w:left w:w="120" w:type="dxa"/>
              <w:right w:w="120" w:type="dxa"/>
            </w:tcMar>
          </w:tcPr>
          <w:p>
            <w:pPr>
              <w:spacing w:after="0" w:line="264" w:lineRule="auto"/>
            </w:pPr>
            <w:r>
              <w:rPr>
                <w:rFonts w:ascii="Arial" w:hAnsi="Arial"/>
                <w:color w:val="3F3F46"/>
                <w:sz w:val="18"/>
              </w:rPr>
              <w:t>High-density clinical web application featuring role-based workspaces, real-time SSE listener, command palette, and interactive 3D landing network.</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PostgreSQL 16 Database</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PostgreSQL 16 Alpine, Flyway Migration Engine</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Relational data store enforcing foreign key multi-tenancy (clinic_id), JSONB template storage, and FIFO waiting-room queue indexes.</w:t>
            </w:r>
          </w:p>
        </w:tc>
      </w:tr>
      <w:tr>
        <w:tc>
          <w:tcPr>
            <w:tcW w:type="dxa" w:w="2592"/>
            <w:shd w:fill="F8FAFC"/>
            <w:tcMar>
              <w:top w:w="90" w:type="dxa"/>
              <w:bottom w:w="90" w:type="dxa"/>
              <w:left w:w="120" w:type="dxa"/>
              <w:right w:w="120" w:type="dxa"/>
            </w:tcMar>
          </w:tcPr>
          <w:p>
            <w:pPr>
              <w:spacing w:after="0" w:line="264" w:lineRule="auto"/>
            </w:pPr>
            <w:r>
              <w:rPr>
                <w:rFonts w:ascii="Arial" w:hAnsi="Arial"/>
                <w:b/>
                <w:color w:val="18181B"/>
                <w:sz w:val="18"/>
              </w:rPr>
              <w:t>Nginx Reverse Proxy</w:t>
            </w:r>
          </w:p>
        </w:tc>
        <w:tc>
          <w:tcPr>
            <w:tcW w:type="dxa" w:w="3168"/>
            <w:shd w:fill="F8FAFC"/>
            <w:tcMar>
              <w:top w:w="90" w:type="dxa"/>
              <w:bottom w:w="90" w:type="dxa"/>
              <w:left w:w="120" w:type="dxa"/>
              <w:right w:w="120" w:type="dxa"/>
            </w:tcMar>
          </w:tcPr>
          <w:p>
            <w:pPr>
              <w:spacing w:after="0" w:line="264" w:lineRule="auto"/>
            </w:pPr>
            <w:r>
              <w:rPr>
                <w:rFonts w:ascii="Arial" w:hAnsi="Arial"/>
                <w:color w:val="3F3F46"/>
                <w:sz w:val="18"/>
              </w:rPr>
              <w:t>Nginx 1.25 Alpine, SSL Termination, SSE Tuning</w:t>
            </w:r>
          </w:p>
        </w:tc>
        <w:tc>
          <w:tcPr>
            <w:tcW w:type="dxa" w:w="3600"/>
            <w:shd w:fill="F8FAFC"/>
            <w:tcMar>
              <w:top w:w="90" w:type="dxa"/>
              <w:bottom w:w="90" w:type="dxa"/>
              <w:left w:w="120" w:type="dxa"/>
              <w:right w:w="120" w:type="dxa"/>
            </w:tcMar>
          </w:tcPr>
          <w:p>
            <w:pPr>
              <w:spacing w:after="0" w:line="264" w:lineRule="auto"/>
            </w:pPr>
            <w:r>
              <w:rPr>
                <w:rFonts w:ascii="Arial" w:hAnsi="Arial"/>
                <w:color w:val="3F3F46"/>
                <w:sz w:val="18"/>
              </w:rPr>
              <w:t>Edge gateway enforcing OWASP security headers, CNDP X-Real-IP audit forwarding, 10MB medical document uploads, and unbuffered SSE event streaming.</w:t>
            </w:r>
          </w:p>
        </w:tc>
      </w:tr>
      <w:tr>
        <w:tc>
          <w:tcPr>
            <w:tcW w:type="dxa" w:w="2592"/>
            <w:shd w:fill="FFFFFF"/>
            <w:tcMar>
              <w:top w:w="90" w:type="dxa"/>
              <w:bottom w:w="90" w:type="dxa"/>
              <w:left w:w="120" w:type="dxa"/>
              <w:right w:w="120" w:type="dxa"/>
            </w:tcMar>
          </w:tcPr>
          <w:p>
            <w:pPr>
              <w:spacing w:after="0" w:line="264" w:lineRule="auto"/>
            </w:pPr>
            <w:r>
              <w:rPr>
                <w:rFonts w:ascii="Arial" w:hAnsi="Arial"/>
                <w:b/>
                <w:color w:val="18181B"/>
                <w:sz w:val="18"/>
              </w:rPr>
              <w:t>MinIO S3 Object Storage</w:t>
            </w:r>
          </w:p>
        </w:tc>
        <w:tc>
          <w:tcPr>
            <w:tcW w:type="dxa" w:w="3168"/>
            <w:shd w:fill="FFFFFF"/>
            <w:tcMar>
              <w:top w:w="90" w:type="dxa"/>
              <w:bottom w:w="90" w:type="dxa"/>
              <w:left w:w="120" w:type="dxa"/>
              <w:right w:w="120" w:type="dxa"/>
            </w:tcMar>
          </w:tcPr>
          <w:p>
            <w:pPr>
              <w:spacing w:after="0" w:line="264" w:lineRule="auto"/>
            </w:pPr>
            <w:r>
              <w:rPr>
                <w:rFonts w:ascii="Arial" w:hAnsi="Arial"/>
                <w:color w:val="3F3F46"/>
                <w:sz w:val="18"/>
              </w:rPr>
              <w:t>MinIO S3 API (quay.io/minio/minio:latest), Internal Bridge (backend-net), 10MB Multipart Uploads</w:t>
            </w:r>
          </w:p>
        </w:tc>
        <w:tc>
          <w:tcPr>
            <w:tcW w:type="dxa" w:w="3600"/>
            <w:shd w:fill="FFFFFF"/>
            <w:tcMar>
              <w:top w:w="90" w:type="dxa"/>
              <w:bottom w:w="90" w:type="dxa"/>
              <w:left w:w="120" w:type="dxa"/>
              <w:right w:w="120" w:type="dxa"/>
            </w:tcMar>
          </w:tcPr>
          <w:p>
            <w:pPr>
              <w:spacing w:after="0" w:line="264" w:lineRule="auto"/>
            </w:pPr>
            <w:r>
              <w:rPr>
                <w:rFonts w:ascii="Arial" w:hAnsi="Arial"/>
                <w:color w:val="3F3F46"/>
                <w:sz w:val="18"/>
              </w:rPr>
              <w:t>100% on-premise Moroccan medical document vault. Enforces multi-tenant namespace (clinics/{clinic_id}/patients/{patient_id}/*) with zero public port exposure; all binary streaming is mediated via Spring Boot with CNDP Loi 09-08 role access controls.</w:t>
            </w:r>
          </w:p>
        </w:tc>
      </w:tr>
    </w:tbl>
    <w:p>
      <w:pPr>
        <w:spacing w:before="160"/>
      </w:pPr>
    </w:p>
    <w:p>
      <w:pPr>
        <w:keepNext/>
        <w:spacing w:before="440" w:after="120"/>
      </w:pPr>
      <w:r>
        <w:rPr>
          <w:rFonts w:ascii="Arial" w:hAnsi="Arial"/>
          <w:b/>
          <w:color w:val="18181B"/>
          <w:sz w:val="32"/>
        </w:rPr>
        <w:t>3. Multi-Tenancy, Security &amp; RBAC Matrix</w:t>
      </w:r>
    </w:p>
    <w:p>
      <w:pPr>
        <w:spacing w:before="0" w:after="120" w:line="276" w:lineRule="auto"/>
      </w:pPr>
      <w:r>
        <w:rPr>
          <w:rFonts w:ascii="Arial" w:hAnsi="Arial"/>
          <w:color w:val="3F3F46"/>
          <w:sz w:val="20"/>
        </w:rPr>
        <w:t>Dossia enforces strict SaaS multi-tenancy at the relational layer using foreign key clinic_id scoping on every business entity. Cross-tenant leakage is prevented via Spring Security filters and ThreadLocal SecurityUtils extraction.</w:t>
      </w:r>
    </w:p>
    <w:tbl>
      <w:tblPr>
        <w:tblW w:type="auto" w:w="0"/>
        <w:jc w:val="center"/>
        <w:tblLayout w:type="fixed"/>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40" w:type="dxa"/>
              <w:bottom w:w="140" w:type="dxa"/>
              <w:left w:w="240" w:type="dxa"/>
              <w:right w:w="200" w:type="dxa"/>
            </w:tcMar>
          </w:tcPr>
          <w:p>
            <w:pPr>
              <w:spacing w:before="0" w:after="0" w:line="276" w:lineRule="auto"/>
            </w:pPr>
            <w:r>
              <w:rPr>
                <w:rFonts w:ascii="Arial" w:hAnsi="Arial"/>
                <w:b/>
                <w:color w:val="059669"/>
                <w:sz w:val="19"/>
              </w:rPr>
              <w:t xml:space="preserve">CNDP LOI 09-08 LEGAL MANDATE: </w:t>
            </w:r>
            <w:r>
              <w:rPr>
                <w:rFonts w:ascii="Arial" w:hAnsi="Arial"/>
                <w:color w:val="18181B"/>
                <w:sz w:val="19"/>
              </w:rPr>
              <w:t>Under Moroccan Law 09-08 (CNDP), health data cannot be physically purged. Dossia mandates soft-delete preservation (deleted_at TIMESTAMP) across all patient records, consultations, and invoices. All database records include created_at, created_by, updated_at, and updated_by audit columns.</w:t>
            </w:r>
          </w:p>
        </w:tc>
      </w:tr>
    </w:tbl>
    <w:p>
      <w:pPr>
        <w:spacing w:before="80" w:after="160"/>
      </w:pP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Role Identifier</w:t>
            </w:r>
          </w:p>
        </w:tc>
        <w:tc>
          <w:tcPr>
            <w:tcW w:type="dxa" w:w="2880"/>
            <w:shd w:fill="059669"/>
            <w:tcMar>
              <w:top w:w="100" w:type="dxa"/>
              <w:bottom w:w="100" w:type="dxa"/>
              <w:left w:w="120" w:type="dxa"/>
              <w:right w:w="120" w:type="dxa"/>
            </w:tcMar>
          </w:tcPr>
          <w:p>
            <w:pPr>
              <w:spacing w:after="0"/>
            </w:pPr>
            <w:r>
              <w:rPr>
                <w:rFonts w:ascii="Arial" w:hAnsi="Arial"/>
                <w:b/>
                <w:color w:val="FFFFFF"/>
                <w:sz w:val="19"/>
              </w:rPr>
              <w:t>Persona &amp; Scope</w:t>
            </w:r>
          </w:p>
        </w:tc>
        <w:tc>
          <w:tcPr>
            <w:tcW w:type="dxa" w:w="3888"/>
            <w:shd w:fill="059669"/>
            <w:tcMar>
              <w:top w:w="100" w:type="dxa"/>
              <w:bottom w:w="100" w:type="dxa"/>
              <w:left w:w="120" w:type="dxa"/>
              <w:right w:w="120" w:type="dxa"/>
            </w:tcMar>
          </w:tcPr>
          <w:p>
            <w:pPr>
              <w:spacing w:after="0"/>
            </w:pPr>
            <w:r>
              <w:rPr>
                <w:rFonts w:ascii="Arial" w:hAnsi="Arial"/>
                <w:b/>
                <w:color w:val="FFFFFF"/>
                <w:sz w:val="19"/>
              </w:rPr>
              <w:t>Functional Permissions &amp; Capabilities</w:t>
            </w:r>
          </w:p>
        </w:tc>
      </w:tr>
      <w:tr>
        <w:tc>
          <w:tcPr>
            <w:tcW w:type="dxa" w:w="2592"/>
            <w:shd w:fill="FFFFFF"/>
            <w:tcMar>
              <w:top w:w="90" w:type="dxa"/>
              <w:bottom w:w="90" w:type="dxa"/>
              <w:left w:w="120" w:type="dxa"/>
              <w:right w:w="120" w:type="dxa"/>
            </w:tcMar>
          </w:tcPr>
          <w:p>
            <w:pPr>
              <w:spacing w:after="0"/>
            </w:pPr>
            <w:r>
              <w:rPr>
                <w:rFonts w:ascii="Arial" w:hAnsi="Arial"/>
                <w:b/>
                <w:color w:val="18181B"/>
                <w:sz w:val="18"/>
              </w:rPr>
              <w:t>SUPER_ADMIN</w:t>
            </w:r>
          </w:p>
        </w:tc>
        <w:tc>
          <w:tcPr>
            <w:tcW w:type="dxa" w:w="2880"/>
            <w:shd w:fill="FFFFFF"/>
            <w:tcMar>
              <w:top w:w="90" w:type="dxa"/>
              <w:bottom w:w="90" w:type="dxa"/>
              <w:left w:w="120" w:type="dxa"/>
              <w:right w:w="120" w:type="dxa"/>
            </w:tcMar>
          </w:tcPr>
          <w:p>
            <w:pPr>
              <w:spacing w:after="0"/>
            </w:pPr>
            <w:r>
              <w:rPr>
                <w:rFonts w:ascii="Arial" w:hAnsi="Arial"/>
                <w:color w:val="3F3F46"/>
                <w:sz w:val="18"/>
              </w:rPr>
              <w:t>Dossia Platform Owner</w:t>
            </w:r>
          </w:p>
        </w:tc>
        <w:tc>
          <w:tcPr>
            <w:tcW w:type="dxa" w:w="3888"/>
            <w:shd w:fill="FFFFFF"/>
            <w:tcMar>
              <w:top w:w="90" w:type="dxa"/>
              <w:bottom w:w="90" w:type="dxa"/>
              <w:left w:w="120" w:type="dxa"/>
              <w:right w:w="120" w:type="dxa"/>
            </w:tcMar>
          </w:tcPr>
          <w:p>
            <w:pPr>
              <w:spacing w:after="0"/>
            </w:pPr>
            <w:r>
              <w:rPr>
                <w:rFonts w:ascii="Arial" w:hAnsi="Arial"/>
                <w:color w:val="3F3F46"/>
                <w:sz w:val="18"/>
              </w:rPr>
              <w:t>Clinic provisioning, ICE verification, subscription toggles, global CNDP audit log review.</w:t>
            </w:r>
          </w:p>
        </w:tc>
      </w:tr>
      <w:tr>
        <w:tc>
          <w:tcPr>
            <w:tcW w:type="dxa" w:w="2592"/>
            <w:shd w:fill="F8FAFC"/>
            <w:tcMar>
              <w:top w:w="90" w:type="dxa"/>
              <w:bottom w:w="90" w:type="dxa"/>
              <w:left w:w="120" w:type="dxa"/>
              <w:right w:w="120" w:type="dxa"/>
            </w:tcMar>
          </w:tcPr>
          <w:p>
            <w:pPr>
              <w:spacing w:after="0"/>
            </w:pPr>
            <w:r>
              <w:rPr>
                <w:rFonts w:ascii="Arial" w:hAnsi="Arial"/>
                <w:b/>
                <w:color w:val="18181B"/>
                <w:sz w:val="18"/>
              </w:rPr>
              <w:t>DOCTOR</w:t>
            </w:r>
          </w:p>
        </w:tc>
        <w:tc>
          <w:tcPr>
            <w:tcW w:type="dxa" w:w="2880"/>
            <w:shd w:fill="F8FAFC"/>
            <w:tcMar>
              <w:top w:w="90" w:type="dxa"/>
              <w:bottom w:w="90" w:type="dxa"/>
              <w:left w:w="120" w:type="dxa"/>
              <w:right w:w="120" w:type="dxa"/>
            </w:tcMar>
          </w:tcPr>
          <w:p>
            <w:pPr>
              <w:spacing w:after="0"/>
            </w:pPr>
            <w:r>
              <w:rPr>
                <w:rFonts w:ascii="Arial" w:hAnsi="Arial"/>
                <w:color w:val="3F3F46"/>
                <w:sz w:val="18"/>
              </w:rPr>
              <w:t>Licensed Practitioner</w:t>
            </w:r>
          </w:p>
        </w:tc>
        <w:tc>
          <w:tcPr>
            <w:tcW w:type="dxa" w:w="3888"/>
            <w:shd w:fill="F8FAFC"/>
            <w:tcMar>
              <w:top w:w="90" w:type="dxa"/>
              <w:bottom w:w="90" w:type="dxa"/>
              <w:left w:w="120" w:type="dxa"/>
              <w:right w:w="120" w:type="dxa"/>
            </w:tcMar>
          </w:tcPr>
          <w:p>
            <w:pPr>
              <w:spacing w:after="0"/>
            </w:pPr>
            <w:r>
              <w:rPr>
                <w:rFonts w:ascii="Arial" w:hAnsi="Arial"/>
                <w:color w:val="3F3F46"/>
                <w:sz w:val="18"/>
              </w:rPr>
              <w:t>Clinical consultations, Clinical Speed Engine, Ordonnance/Bilan/Certificate generation, Doctor Pager call.</w:t>
            </w:r>
          </w:p>
        </w:tc>
      </w:tr>
      <w:tr>
        <w:tc>
          <w:tcPr>
            <w:tcW w:type="dxa" w:w="2592"/>
            <w:shd w:fill="FFFFFF"/>
            <w:tcMar>
              <w:top w:w="90" w:type="dxa"/>
              <w:bottom w:w="90" w:type="dxa"/>
              <w:left w:w="120" w:type="dxa"/>
              <w:right w:w="120" w:type="dxa"/>
            </w:tcMar>
          </w:tcPr>
          <w:p>
            <w:pPr>
              <w:spacing w:after="0"/>
            </w:pPr>
            <w:r>
              <w:rPr>
                <w:rFonts w:ascii="Arial" w:hAnsi="Arial"/>
                <w:b/>
                <w:color w:val="18181B"/>
                <w:sz w:val="18"/>
              </w:rPr>
              <w:t>SECRETARY</w:t>
            </w:r>
          </w:p>
        </w:tc>
        <w:tc>
          <w:tcPr>
            <w:tcW w:type="dxa" w:w="2880"/>
            <w:shd w:fill="FFFFFF"/>
            <w:tcMar>
              <w:top w:w="90" w:type="dxa"/>
              <w:bottom w:w="90" w:type="dxa"/>
              <w:left w:w="120" w:type="dxa"/>
              <w:right w:w="120" w:type="dxa"/>
            </w:tcMar>
          </w:tcPr>
          <w:p>
            <w:pPr>
              <w:spacing w:after="0"/>
            </w:pPr>
            <w:r>
              <w:rPr>
                <w:rFonts w:ascii="Arial" w:hAnsi="Arial"/>
                <w:color w:val="3F3F46"/>
                <w:sz w:val="18"/>
              </w:rPr>
              <w:t>Medical Assistant (Front-Desk)</w:t>
            </w:r>
          </w:p>
        </w:tc>
        <w:tc>
          <w:tcPr>
            <w:tcW w:type="dxa" w:w="3888"/>
            <w:shd w:fill="FFFFFF"/>
            <w:tcMar>
              <w:top w:w="90" w:type="dxa"/>
              <w:bottom w:w="90" w:type="dxa"/>
              <w:left w:w="120" w:type="dxa"/>
              <w:right w:w="120" w:type="dxa"/>
            </w:tcMar>
          </w:tcPr>
          <w:p>
            <w:pPr>
              <w:spacing w:after="0"/>
            </w:pPr>
            <w:r>
              <w:rPr>
                <w:rFonts w:ascii="Arial" w:hAnsi="Arial"/>
                <w:color w:val="3F3F46"/>
                <w:sz w:val="18"/>
              </w:rPr>
              <w:t>Patient check-in, Smart Agenda scheduling (&lt;3s SLA), direct Caisse encaissement, and CNSS Feuille de Soins.</w:t>
            </w:r>
          </w:p>
        </w:tc>
      </w:tr>
    </w:tbl>
    <w:p>
      <w:pPr>
        <w:spacing w:before="160"/>
      </w:pPr>
    </w:p>
    <w:p>
      <w:pPr>
        <w:keepNext/>
        <w:spacing w:before="440" w:after="120"/>
      </w:pPr>
      <w:r>
        <w:rPr>
          <w:rFonts w:ascii="Arial" w:hAnsi="Arial"/>
          <w:b/>
          <w:color w:val="18181B"/>
          <w:sz w:val="32"/>
        </w:rPr>
        <w:t>4. Spring Modulith Bounded Contexts</w:t>
      </w:r>
    </w:p>
    <w:p>
      <w:pPr>
        <w:spacing w:before="0" w:after="120" w:line="276" w:lineRule="auto"/>
      </w:pPr>
      <w:r>
        <w:rPr>
          <w:rFonts w:ascii="Arial" w:hAnsi="Arial"/>
          <w:color w:val="3F3F46"/>
          <w:sz w:val="20"/>
        </w:rPr>
        <w:t>Dossia adopts the Spring Modulith architectural pattern on Java 21. Cross-module database querying is strictly forbidden; communication is achieved either via immutable Application Events or strongly-typed public interfaces.</w:t>
      </w:r>
    </w:p>
    <w:p>
      <w:pPr>
        <w:keepNext/>
        <w:spacing w:before="280" w:after="80"/>
      </w:pPr>
      <w:r>
        <w:rPr>
          <w:rFonts w:ascii="Arial" w:hAnsi="Arial"/>
          <w:b/>
          <w:color w:val="059669"/>
          <w:sz w:val="25"/>
        </w:rPr>
        <w:t>Authentication, Multi-Tenancy &amp; Security Context (com.dossia.backend.auth)</w:t>
      </w:r>
    </w:p>
    <w:p>
      <w:pPr>
        <w:spacing w:before="0" w:after="120" w:line="276" w:lineRule="auto"/>
      </w:pPr>
      <w:r>
        <w:rPr>
          <w:rFonts w:ascii="Arial" w:hAnsi="Arial"/>
          <w:color w:val="3F3F46"/>
          <w:sz w:val="20"/>
        </w:rPr>
        <w:t>Manages user credentials, BCrypt password hashing, JWT token issuance, and multi-tenant clinic resolution via SecurityUtils. ThreadLocal clinic isolation ensures zero cross-practice data leakage.</w:t>
      </w:r>
    </w:p>
    <w:p>
      <w:pPr>
        <w:spacing w:before="0" w:after="120" w:line="276" w:lineRule="auto"/>
      </w:pPr>
      <w:r>
        <w:rPr>
          <w:rFonts w:ascii="Arial" w:hAnsi="Arial"/>
          <w:b/>
          <w:color w:val="18181B"/>
          <w:sz w:val="20"/>
        </w:rPr>
        <w:t xml:space="preserve">• Domain Entities: </w:t>
      </w:r>
      <w:r>
        <w:rPr>
          <w:rFonts w:ascii="Arial" w:hAnsi="Arial"/>
          <w:color w:val="3F3F46"/>
          <w:sz w:val="20"/>
        </w:rPr>
        <w:t>users, clinics</w:t>
      </w:r>
    </w:p>
    <w:p>
      <w:pPr>
        <w:spacing w:before="0" w:after="120" w:line="276" w:lineRule="auto"/>
      </w:pPr>
      <w:r>
        <w:rPr>
          <w:rFonts w:ascii="Arial" w:hAnsi="Arial"/>
          <w:b/>
          <w:color w:val="18181B"/>
          <w:sz w:val="20"/>
        </w:rPr>
        <w:t xml:space="preserve">• Domain Events: </w:t>
      </w:r>
      <w:r>
        <w:rPr>
          <w:rFonts w:ascii="Arial" w:hAnsi="Arial"/>
          <w:color w:val="3F3F46"/>
          <w:sz w:val="20"/>
        </w:rPr>
        <w:t>UserAuthenticatedEvent, ClinicSubscriptionToggledEvent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AuthService, CustomUserDetailsService, JwtTokenProvider, SecurityUtils</w:t>
      </w:r>
    </w:p>
    <w:p>
      <w:pPr>
        <w:keepNext/>
        <w:spacing w:before="280" w:after="80"/>
      </w:pPr>
      <w:r>
        <w:rPr>
          <w:rFonts w:ascii="Arial" w:hAnsi="Arial"/>
          <w:b/>
          <w:color w:val="059669"/>
          <w:sz w:val="25"/>
        </w:rPr>
        <w:t>Super Admin SaaS Platform Governance (com.dossia.backend.admin)</w:t>
      </w:r>
    </w:p>
    <w:p>
      <w:pPr>
        <w:spacing w:before="0" w:after="120" w:line="276" w:lineRule="auto"/>
      </w:pPr>
      <w:r>
        <w:rPr>
          <w:rFonts w:ascii="Arial" w:hAnsi="Arial"/>
          <w:color w:val="3F3F46"/>
          <w:sz w:val="20"/>
        </w:rPr>
        <w:t>Provides platform-level clinic lifecycle management, 15-digit ICE validation, subscription state controls (ACTIVE/SUSPENDED), user credential reset utilities, and cross-tenant CNDP audit log viewing.</w:t>
      </w:r>
    </w:p>
    <w:p>
      <w:pPr>
        <w:spacing w:before="0" w:after="120" w:line="276" w:lineRule="auto"/>
      </w:pPr>
      <w:r>
        <w:rPr>
          <w:rFonts w:ascii="Arial" w:hAnsi="Arial"/>
          <w:b/>
          <w:color w:val="18181B"/>
          <w:sz w:val="20"/>
        </w:rPr>
        <w:t xml:space="preserve">• Domain Entities: </w:t>
      </w:r>
      <w:r>
        <w:rPr>
          <w:rFonts w:ascii="Arial" w:hAnsi="Arial"/>
          <w:color w:val="3F3F46"/>
          <w:sz w:val="20"/>
        </w:rPr>
        <w:t>clinics, users, audit_logs</w:t>
      </w:r>
    </w:p>
    <w:p>
      <w:pPr>
        <w:spacing w:before="0" w:after="120" w:line="276" w:lineRule="auto"/>
      </w:pPr>
      <w:r>
        <w:rPr>
          <w:rFonts w:ascii="Arial" w:hAnsi="Arial"/>
          <w:b/>
          <w:color w:val="18181B"/>
          <w:sz w:val="20"/>
        </w:rPr>
        <w:t xml:space="preserve">• Domain Events: </w:t>
      </w:r>
      <w:r>
        <w:rPr>
          <w:rFonts w:ascii="Arial" w:hAnsi="Arial"/>
          <w:color w:val="3F3F46"/>
          <w:sz w:val="20"/>
        </w:rPr>
        <w:t>ClinicProvisionedEvent, SubscriptionStatusChangedEvent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AdminClinicService, AdminSubscriptionService, AdminAuditService</w:t>
      </w:r>
    </w:p>
    <w:p>
      <w:pPr>
        <w:keepNext/>
        <w:spacing w:before="280" w:after="80"/>
      </w:pPr>
      <w:r>
        <w:rPr>
          <w:rFonts w:ascii="Arial" w:hAnsi="Arial"/>
          <w:b/>
          <w:color w:val="059669"/>
          <w:sz w:val="25"/>
        </w:rPr>
        <w:t>Patient Demographics &amp; Medical Registry (com.dossia.backend.patient)</w:t>
      </w:r>
    </w:p>
    <w:p>
      <w:pPr>
        <w:spacing w:before="0" w:after="120" w:line="276" w:lineRule="auto"/>
      </w:pPr>
      <w:r>
        <w:rPr>
          <w:rFonts w:ascii="Arial" w:hAnsi="Arial"/>
          <w:color w:val="3F3F46"/>
          <w:sz w:val="20"/>
        </w:rPr>
        <w:t>Maintains patient dossiers, unique national identity card (CIN) indexing, validated Moroccan mobile/landline numbers (+212), CNSS/CNOPS registration, and soft-delete legal records preservation.</w:t>
      </w:r>
    </w:p>
    <w:p>
      <w:pPr>
        <w:spacing w:before="0" w:after="120" w:line="276" w:lineRule="auto"/>
      </w:pPr>
      <w:r>
        <w:rPr>
          <w:rFonts w:ascii="Arial" w:hAnsi="Arial"/>
          <w:b/>
          <w:color w:val="18181B"/>
          <w:sz w:val="20"/>
        </w:rPr>
        <w:t xml:space="preserve">• Domain Entities: </w:t>
      </w:r>
      <w:r>
        <w:rPr>
          <w:rFonts w:ascii="Arial" w:hAnsi="Arial"/>
          <w:color w:val="3F3F46"/>
          <w:sz w:val="20"/>
        </w:rPr>
        <w:t>patients</w:t>
      </w:r>
    </w:p>
    <w:p>
      <w:pPr>
        <w:spacing w:before="0" w:after="120" w:line="276" w:lineRule="auto"/>
      </w:pPr>
      <w:r>
        <w:rPr>
          <w:rFonts w:ascii="Arial" w:hAnsi="Arial"/>
          <w:b/>
          <w:color w:val="18181B"/>
          <w:sz w:val="20"/>
        </w:rPr>
        <w:t xml:space="preserve">• Domain Events: </w:t>
      </w:r>
      <w:r>
        <w:rPr>
          <w:rFonts w:ascii="Arial" w:hAnsi="Arial"/>
          <w:color w:val="3F3F46"/>
          <w:sz w:val="20"/>
        </w:rPr>
        <w:t>PatientCreatedEvent, PatientUpdatedEvent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PatientService, PatientRepository</w:t>
      </w:r>
    </w:p>
    <w:p>
      <w:pPr>
        <w:keepNext/>
        <w:spacing w:before="280" w:after="80"/>
      </w:pPr>
      <w:r>
        <w:rPr>
          <w:rFonts w:ascii="Arial" w:hAnsi="Arial"/>
          <w:b/>
          <w:color w:val="059669"/>
          <w:sz w:val="25"/>
        </w:rPr>
        <w:t>Smart Agenda, Waiting Room &amp; SSE Doctor Pager (com.dossia.backend.agenda)</w:t>
      </w:r>
    </w:p>
    <w:p>
      <w:pPr>
        <w:spacing w:before="0" w:after="120" w:line="276" w:lineRule="auto"/>
      </w:pPr>
      <w:r>
        <w:rPr>
          <w:rFonts w:ascii="Arial" w:hAnsi="Arial"/>
          <w:color w:val="3F3F46"/>
          <w:sz w:val="20"/>
        </w:rPr>
        <w:t>Handles appointment scheduling with optimistic locking (version), live waiting-room status tracking (arrived_at, called_at), multi-tenant Server-Sent Events (SSE) broadcast, and real-time Doctor Pager calling.</w:t>
      </w:r>
    </w:p>
    <w:p>
      <w:pPr>
        <w:spacing w:before="0" w:after="120" w:line="276" w:lineRule="auto"/>
      </w:pPr>
      <w:r>
        <w:rPr>
          <w:rFonts w:ascii="Arial" w:hAnsi="Arial"/>
          <w:b/>
          <w:color w:val="18181B"/>
          <w:sz w:val="20"/>
        </w:rPr>
        <w:t xml:space="preserve">• Domain Entities: </w:t>
      </w:r>
      <w:r>
        <w:rPr>
          <w:rFonts w:ascii="Arial" w:hAnsi="Arial"/>
          <w:color w:val="3F3F46"/>
          <w:sz w:val="20"/>
        </w:rPr>
        <w:t>appointments</w:t>
      </w:r>
    </w:p>
    <w:p>
      <w:pPr>
        <w:spacing w:before="0" w:after="120" w:line="276" w:lineRule="auto"/>
      </w:pPr>
      <w:r>
        <w:rPr>
          <w:rFonts w:ascii="Arial" w:hAnsi="Arial"/>
          <w:b/>
          <w:color w:val="18181B"/>
          <w:sz w:val="20"/>
        </w:rPr>
        <w:t xml:space="preserve">• Domain Events: </w:t>
      </w:r>
      <w:r>
        <w:rPr>
          <w:rFonts w:ascii="Arial" w:hAnsi="Arial"/>
          <w:color w:val="3F3F46"/>
          <w:sz w:val="20"/>
        </w:rPr>
        <w:t>AppointmentScheduledEvent, AppointmentStatusChangedEvent, PatientCalledEvent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AgendaService, WaitingRoomSseRegistry, WaitingRoomStreamController</w:t>
      </w:r>
    </w:p>
    <w:p>
      <w:pPr>
        <w:keepNext/>
        <w:spacing w:before="280" w:after="80"/>
      </w:pPr>
      <w:r>
        <w:rPr>
          <w:rFonts w:ascii="Arial" w:hAnsi="Arial"/>
          <w:b/>
          <w:color w:val="059669"/>
          <w:sz w:val="25"/>
        </w:rPr>
        <w:t>Clinical Speed Engine, Drug Catalog, Voice Scribe &amp; Document Generators (com.dossia.backend.consultation)</w:t>
      </w:r>
    </w:p>
    <w:p>
      <w:pPr>
        <w:spacing w:before="0" w:after="120" w:line="276" w:lineRule="auto"/>
      </w:pPr>
      <w:r>
        <w:rPr>
          <w:rFonts w:ascii="Arial" w:hAnsi="Arial"/>
          <w:color w:val="3F3F46"/>
          <w:sz w:val="20"/>
        </w:rPr>
        <w:t>Empowers physicians with sub-minute consultations: French Medical Voice-to-Form Scribe (Dictée Vocale Clinique) with CNDP Zero-PII audio streaming, Moroccan drug catalog (28 pre-seeded medications with fuzzy matching), custom ordonnance templates, biological/radiological diagnostic requests, certified sick-leave certificates, and vector OpenPDF generators.</w:t>
      </w:r>
    </w:p>
    <w:p>
      <w:pPr>
        <w:spacing w:before="0" w:after="120" w:line="276" w:lineRule="auto"/>
      </w:pPr>
      <w:r>
        <w:rPr>
          <w:rFonts w:ascii="Arial" w:hAnsi="Arial"/>
          <w:b/>
          <w:color w:val="18181B"/>
          <w:sz w:val="20"/>
        </w:rPr>
        <w:t xml:space="preserve">• Domain Entities: </w:t>
      </w:r>
      <w:r>
        <w:rPr>
          <w:rFonts w:ascii="Arial" w:hAnsi="Arial"/>
          <w:color w:val="3F3F46"/>
          <w:sz w:val="20"/>
        </w:rPr>
        <w:t>consultations, prescriptions, prescription_items, medications_catalog, prescription_templates, diagnostic_requests, medical_certificates, ai_scribe_logs</w:t>
      </w:r>
    </w:p>
    <w:p>
      <w:pPr>
        <w:spacing w:before="0" w:after="120" w:line="276" w:lineRule="auto"/>
      </w:pPr>
      <w:r>
        <w:rPr>
          <w:rFonts w:ascii="Arial" w:hAnsi="Arial"/>
          <w:b/>
          <w:color w:val="18181B"/>
          <w:sz w:val="20"/>
        </w:rPr>
        <w:t xml:space="preserve">• Domain Events: </w:t>
      </w:r>
      <w:r>
        <w:rPr>
          <w:rFonts w:ascii="Arial" w:hAnsi="Arial"/>
          <w:color w:val="3F3F46"/>
          <w:sz w:val="20"/>
        </w:rPr>
        <w:t>ConsultationCompletedEvent, PrescriptionIssuedEvent, DiagnosticRequestCreatedEvent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ConsultationService, ClinicalSpeedEngineService, FrenchMedicalVoiceScribeService, OrdonnancePdfGenerator, BilanPdfGenerator, CertificatPdfGenerator, FrenchNumberSpellout</w:t>
      </w:r>
    </w:p>
    <w:p>
      <w:pPr>
        <w:keepNext/>
        <w:spacing w:before="280" w:after="80"/>
      </w:pPr>
      <w:r>
        <w:rPr>
          <w:rFonts w:ascii="Arial" w:hAnsi="Arial"/>
          <w:b/>
          <w:color w:val="059669"/>
          <w:sz w:val="25"/>
        </w:rPr>
        <w:t>Facturation, Encaissement &amp; Caisse Journalière in MAD (com.dossia.backend.billing)</w:t>
      </w:r>
    </w:p>
    <w:p>
      <w:pPr>
        <w:spacing w:before="0" w:after="120" w:line="276" w:lineRule="auto"/>
      </w:pPr>
      <w:r>
        <w:rPr>
          <w:rFonts w:ascii="Arial" w:hAnsi="Arial"/>
          <w:color w:val="3F3F46"/>
          <w:sz w:val="20"/>
        </w:rPr>
        <w:t>Maintains strict financial accounting in Moroccan Dirhams (MAD). Generates consultation invoices, tracks partial/full payments across ESPECES, TPE, CHEQUE, and VIREMENT, compiles daily ledger balances, and generates branded payment receipts.</w:t>
      </w:r>
    </w:p>
    <w:p>
      <w:pPr>
        <w:spacing w:before="0" w:after="120" w:line="276" w:lineRule="auto"/>
      </w:pPr>
      <w:r>
        <w:rPr>
          <w:rFonts w:ascii="Arial" w:hAnsi="Arial"/>
          <w:b/>
          <w:color w:val="18181B"/>
          <w:sz w:val="20"/>
        </w:rPr>
        <w:t xml:space="preserve">• Domain Entities: </w:t>
      </w:r>
      <w:r>
        <w:rPr>
          <w:rFonts w:ascii="Arial" w:hAnsi="Arial"/>
          <w:color w:val="3F3F46"/>
          <w:sz w:val="20"/>
        </w:rPr>
        <w:t>invoices, payments</w:t>
      </w:r>
    </w:p>
    <w:p>
      <w:pPr>
        <w:spacing w:before="0" w:after="120" w:line="276" w:lineRule="auto"/>
      </w:pPr>
      <w:r>
        <w:rPr>
          <w:rFonts w:ascii="Arial" w:hAnsi="Arial"/>
          <w:b/>
          <w:color w:val="18181B"/>
          <w:sz w:val="20"/>
        </w:rPr>
        <w:t xml:space="preserve">• Domain Events: </w:t>
      </w:r>
      <w:r>
        <w:rPr>
          <w:rFonts w:ascii="Arial" w:hAnsi="Arial"/>
          <w:color w:val="3F3F46"/>
          <w:sz w:val="20"/>
        </w:rPr>
        <w:t>InvoiceCreatedEvent, PaymentRegisteredEvent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BillingService, ReceiptPdfGenerator, BillingRepository</w:t>
      </w:r>
    </w:p>
    <w:p>
      <w:pPr>
        <w:keepNext/>
        <w:spacing w:before="280" w:after="80"/>
      </w:pPr>
      <w:r>
        <w:rPr>
          <w:rFonts w:ascii="Arial" w:hAnsi="Arial"/>
          <w:b/>
          <w:color w:val="059669"/>
          <w:sz w:val="25"/>
        </w:rPr>
        <w:t>AMO / CNSS Social Security Reimbursement Orchestrator (com.dossia.backend.cnss)</w:t>
      </w:r>
    </w:p>
    <w:p>
      <w:pPr>
        <w:spacing w:before="0" w:after="120" w:line="276" w:lineRule="auto"/>
      </w:pPr>
      <w:r>
        <w:rPr>
          <w:rFonts w:ascii="Arial" w:hAnsi="Arial"/>
          <w:color w:val="3F3F46"/>
          <w:sz w:val="20"/>
        </w:rPr>
        <w:t>Bridges clinical acts and Moroccan medical insurance. Auto-generates standardized Feuilles de Soins (CNSS, CNOPS, FAR) conforming to FIP-1 through FIP-8 forms, maps practitioner INPE, and produces high-resolution printable PDF forms.</w:t>
      </w:r>
    </w:p>
    <w:p>
      <w:pPr>
        <w:spacing w:before="0" w:after="120" w:line="276" w:lineRule="auto"/>
      </w:pPr>
      <w:r>
        <w:rPr>
          <w:rFonts w:ascii="Arial" w:hAnsi="Arial"/>
          <w:b/>
          <w:color w:val="18181B"/>
          <w:sz w:val="20"/>
        </w:rPr>
        <w:t xml:space="preserve">• Domain Entities: </w:t>
      </w:r>
      <w:r>
        <w:rPr>
          <w:rFonts w:ascii="Arial" w:hAnsi="Arial"/>
          <w:color w:val="3F3F46"/>
          <w:sz w:val="20"/>
        </w:rPr>
        <w:t>feuilles_de_soins</w:t>
      </w:r>
    </w:p>
    <w:p>
      <w:pPr>
        <w:spacing w:before="0" w:after="120" w:line="276" w:lineRule="auto"/>
      </w:pPr>
      <w:r>
        <w:rPr>
          <w:rFonts w:ascii="Arial" w:hAnsi="Arial"/>
          <w:b/>
          <w:color w:val="18181B"/>
          <w:sz w:val="20"/>
        </w:rPr>
        <w:t xml:space="preserve">• Domain Events: </w:t>
      </w:r>
      <w:r>
        <w:rPr>
          <w:rFonts w:ascii="Arial" w:hAnsi="Arial"/>
          <w:color w:val="3F3F46"/>
          <w:sz w:val="20"/>
        </w:rPr>
        <w:t>FeuilleDeSoinsGeneratedEvent, FeuilleDeSoinsPrintedEvent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FeuilleDeSoinsOrchestrator, CnssPdfGenerator</w:t>
      </w:r>
    </w:p>
    <w:p>
      <w:pPr>
        <w:keepNext/>
        <w:spacing w:before="280" w:after="80"/>
      </w:pPr>
      <w:r>
        <w:rPr>
          <w:rFonts w:ascii="Arial" w:hAnsi="Arial"/>
          <w:b/>
          <w:color w:val="059669"/>
          <w:sz w:val="25"/>
        </w:rPr>
        <w:t>Coffre-Fort Documents &amp; Imagerie Médicale (MinIO S3) (com.dossia.backend.vault)</w:t>
      </w:r>
    </w:p>
    <w:p>
      <w:pPr>
        <w:spacing w:before="0" w:after="120" w:line="276" w:lineRule="auto"/>
      </w:pPr>
      <w:r>
        <w:rPr>
          <w:rFonts w:ascii="Arial" w:hAnsi="Arial"/>
          <w:color w:val="3F3F46"/>
          <w:sz w:val="20"/>
        </w:rPr>
        <w:t>Digitizes, indexes, and streams medical files (radiology X-rays, ultrasound scans, biology lab PDFs, CIN, and mutuelle insurance cards). Automatically enforces CNDP visibility tiers (DOCTOR_ONLY for clinical imagery vs. SHARED_SECRETARY for administrative files) and streams binaries through Spring Boot with JWT validation.</w:t>
      </w:r>
    </w:p>
    <w:p>
      <w:pPr>
        <w:spacing w:before="0" w:after="120" w:line="276" w:lineRule="auto"/>
      </w:pPr>
      <w:r>
        <w:rPr>
          <w:rFonts w:ascii="Arial" w:hAnsi="Arial"/>
          <w:b/>
          <w:color w:val="18181B"/>
          <w:sz w:val="20"/>
        </w:rPr>
        <w:t xml:space="preserve">• Domain Entities: </w:t>
      </w:r>
      <w:r>
        <w:rPr>
          <w:rFonts w:ascii="Arial" w:hAnsi="Arial"/>
          <w:color w:val="3F3F46"/>
          <w:sz w:val="20"/>
        </w:rPr>
        <w:t>patient_documents</w:t>
      </w:r>
    </w:p>
    <w:p>
      <w:pPr>
        <w:spacing w:before="0" w:after="120" w:line="276" w:lineRule="auto"/>
      </w:pPr>
      <w:r>
        <w:rPr>
          <w:rFonts w:ascii="Arial" w:hAnsi="Arial"/>
          <w:b/>
          <w:color w:val="18181B"/>
          <w:sz w:val="20"/>
        </w:rPr>
        <w:t xml:space="preserve">• Domain Events: </w:t>
      </w:r>
      <w:r>
        <w:rPr>
          <w:rFonts w:ascii="Arial" w:hAnsi="Arial"/>
          <w:color w:val="3F3F46"/>
          <w:sz w:val="20"/>
        </w:rPr>
        <w:t>DocumentUploadedEvent, DocumentArchivedEvent</w:t>
      </w:r>
    </w:p>
    <w:p>
      <w:pPr>
        <w:spacing w:before="0" w:after="120" w:line="276" w:lineRule="auto"/>
      </w:pPr>
      <w:r>
        <w:rPr>
          <w:rFonts w:ascii="Arial" w:hAnsi="Arial"/>
          <w:b/>
          <w:color w:val="18181B"/>
          <w:sz w:val="20"/>
        </w:rPr>
        <w:t xml:space="preserve">• Core Public Services: </w:t>
      </w:r>
      <w:r>
        <w:rPr>
          <w:rFonts w:ascii="Arial" w:hAnsi="Arial"/>
          <w:color w:val="3F3F46"/>
          <w:sz w:val="20"/>
        </w:rPr>
        <w:t>DocumentVaultService, MinioStorageService, PatientDocumentRepository</w:t>
      </w:r>
    </w:p>
    <w:p>
      <w:pPr>
        <w:keepNext/>
        <w:spacing w:before="440" w:after="120"/>
      </w:pPr>
      <w:r>
        <w:rPr>
          <w:rFonts w:ascii="Arial" w:hAnsi="Arial"/>
          <w:b/>
          <w:color w:val="18181B"/>
          <w:sz w:val="32"/>
        </w:rPr>
        <w:t>5. Flyway Migration Ledger</w:t>
      </w:r>
    </w:p>
    <w:p>
      <w:pPr>
        <w:spacing w:before="0" w:after="120" w:line="276" w:lineRule="auto"/>
      </w:pPr>
      <w:r>
        <w:rPr>
          <w:rFonts w:ascii="Arial" w:hAnsi="Arial"/>
          <w:color w:val="3F3F46"/>
          <w:sz w:val="20"/>
        </w:rPr>
        <w:t>All database schema changes are managed strictly through Flyway versioned SQL scripts. The following ledger details every migration currently active in production.</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2592"/>
            <w:shd w:fill="059669"/>
            <w:tcMar>
              <w:top w:w="100" w:type="dxa"/>
              <w:bottom w:w="100" w:type="dxa"/>
              <w:left w:w="120" w:type="dxa"/>
              <w:right w:w="120" w:type="dxa"/>
            </w:tcMar>
          </w:tcPr>
          <w:p>
            <w:pPr>
              <w:spacing w:after="0"/>
            </w:pPr>
            <w:r>
              <w:rPr>
                <w:rFonts w:ascii="Arial" w:hAnsi="Arial"/>
                <w:b/>
                <w:color w:val="FFFFFF"/>
                <w:sz w:val="18"/>
              </w:rPr>
              <w:t>Version &amp; Script</w:t>
            </w:r>
          </w:p>
        </w:tc>
        <w:tc>
          <w:tcPr>
            <w:tcW w:type="dxa" w:w="2160"/>
            <w:shd w:fill="059669"/>
            <w:tcMar>
              <w:top w:w="100" w:type="dxa"/>
              <w:bottom w:w="100" w:type="dxa"/>
              <w:left w:w="120" w:type="dxa"/>
              <w:right w:w="120" w:type="dxa"/>
            </w:tcMar>
          </w:tcPr>
          <w:p>
            <w:pPr>
              <w:spacing w:after="0"/>
            </w:pPr>
            <w:r>
              <w:rPr>
                <w:rFonts w:ascii="Arial" w:hAnsi="Arial"/>
                <w:b/>
                <w:color w:val="FFFFFF"/>
                <w:sz w:val="18"/>
              </w:rPr>
              <w:t>Affected Tables</w:t>
            </w:r>
          </w:p>
        </w:tc>
        <w:tc>
          <w:tcPr>
            <w:tcW w:type="dxa" w:w="1440"/>
            <w:shd w:fill="059669"/>
            <w:tcMar>
              <w:top w:w="100" w:type="dxa"/>
              <w:bottom w:w="100" w:type="dxa"/>
              <w:left w:w="120" w:type="dxa"/>
              <w:right w:w="120" w:type="dxa"/>
            </w:tcMar>
          </w:tcPr>
          <w:p>
            <w:pPr>
              <w:spacing w:after="0"/>
            </w:pPr>
            <w:r>
              <w:rPr>
                <w:rFonts w:ascii="Arial" w:hAnsi="Arial"/>
                <w:b/>
                <w:color w:val="FFFFFF"/>
                <w:sz w:val="18"/>
              </w:rPr>
              <w:t>Tenant Scoping</w:t>
            </w:r>
          </w:p>
        </w:tc>
        <w:tc>
          <w:tcPr>
            <w:tcW w:type="dxa" w:w="3168"/>
            <w:shd w:fill="059669"/>
            <w:tcMar>
              <w:top w:w="100" w:type="dxa"/>
              <w:bottom w:w="100" w:type="dxa"/>
              <w:left w:w="120" w:type="dxa"/>
              <w:right w:w="120" w:type="dxa"/>
            </w:tcMar>
          </w:tcPr>
          <w:p>
            <w:pPr>
              <w:spacing w:after="0"/>
            </w:pPr>
            <w:r>
              <w:rPr>
                <w:rFonts w:ascii="Arial" w:hAnsi="Arial"/>
                <w:b/>
                <w:color w:val="FFFFFF"/>
                <w:sz w:val="18"/>
              </w:rPr>
              <w:t>Architectural Scope &amp; Changes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V1</w:t>
              <w:br/>
              <w:t>V1__init_patient_schema.sql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patients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Initial patient registry with Moroccan CIN uniqueness, phone indexing, and CNDP Loi 09-08 audit columns.</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V2</w:t>
              <w:br/>
              <w:t>V2__init_agenda_schema.sql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appointments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Appointment scheduling schema with status tracking, doctor indexes, and optimistic locking version counter.</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V3</w:t>
              <w:br/>
              <w:t>V3__init_consultation_schema.sql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consultations, prescriptions, prescription_items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Clinical consultation history, diagnosis, patient vitals, and prescription lines with cascade delete rules.</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V4</w:t>
              <w:br/>
              <w:t>V4__init_billing_schema.sql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invoices, payments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Caisse journalière and invoice tracking with strict NUMERIC(10,2) MAD currency constraints and payment methods.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V5</w:t>
              <w:br/>
              <w:t>V5__init_cnss_schema.sql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feuilles_de_soins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(Retro-fitted in V6)</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AMO social security reimbursement records supporting CNSS, CNOPS, and FAR formats with print tracking.</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V6</w:t>
              <w:br/>
              <w:t>V6__init_auth_schema.sql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clinics, users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(Architecture Foundation)</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SaaS multi-tenancy foundation: clinics table with 15-digit ICE, users table with RBAC roles, and foreign key clinic_id retrofitted on all existing tables.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V7</w:t>
              <w:br/>
              <w:t>V7__add_waiting_room_tracking.sql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appointments (altered)</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Real-time waiting room metrics: added arrived_at and called_at timestamps with composite index (clinic_id, status, arrived_at).</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V8</w:t>
              <w:br/>
              <w:t>V8__init_clinical_library_and_certificates.sql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medications_catalog, prescription_templates, diagnostic_requests, medical_certificates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(Templates support Global &amp; Clinic scope)</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Clinical Speed Engine schema: 28 pre-seeded Moroccan medications, default prescription templates, diagnostic requests, and medical certificates.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V9</w:t>
              <w:br/>
              <w:t>V9__init_document_vault_schema.sql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patient_documents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(Foreign key clinic_id)</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Document vault schema: multi-tenant patient_documents table with CNDP visibility tiers (DOCTOR_ONLY vs SHARED_SECRETARY), strict MIME checks (PDF, JPEG, PNG, WEBP), and soft-delete retention.</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V10</w:t>
              <w:br/>
              <w:t>V10__seed_moroccan_clinical_practice_data.sql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patients, appointments, consultations, prescriptions, prescription_items, invoices, payments, feuilles_de_soins, diagnostic_requests, medical_certificates, patient_documents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(Clinique Ibn Sina Agadir)</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Authentic Moroccan clinical practice seed dataset: 10 patients with valid CIN/phone/CNSS, dynamic waiting-room queue and agenda (relative to CURRENT_DATE), completed consultations, prescriptions, MAD daily caisse transactions, CNSS/CNOPS claim forms, bilans, and document vault records.</w:t>
            </w:r>
          </w:p>
        </w:tc>
      </w:tr>
      <w:tr>
        <w:tc>
          <w:tcPr>
            <w:tcW w:type="dxa" w:w="2592"/>
            <w:shd w:fill="FFFFFF"/>
            <w:tcMar>
              <w:top w:w="80" w:type="dxa"/>
              <w:bottom w:w="80" w:type="dxa"/>
              <w:left w:w="100" w:type="dxa"/>
              <w:right w:w="100" w:type="dxa"/>
            </w:tcMar>
          </w:tcPr>
          <w:p>
            <w:pPr>
              <w:spacing w:after="0" w:line="264" w:lineRule="auto"/>
            </w:pPr>
            <w:r>
              <w:rPr>
                <w:rFonts w:ascii="Arial" w:hAnsi="Arial"/>
                <w:b/>
                <w:color w:val="18181B"/>
                <w:sz w:val="17"/>
              </w:rPr>
              <w:t>V11</w:t>
              <w:br/>
              <w:t>V11__init_voice_scribe_audit_schema.sql</w:t>
            </w:r>
          </w:p>
        </w:tc>
        <w:tc>
          <w:tcPr>
            <w:tcW w:type="dxa" w:w="2160"/>
            <w:shd w:fill="FFFFFF"/>
            <w:tcMar>
              <w:top w:w="80" w:type="dxa"/>
              <w:bottom w:w="80" w:type="dxa"/>
              <w:left w:w="100" w:type="dxa"/>
              <w:right w:w="100" w:type="dxa"/>
            </w:tcMar>
          </w:tcPr>
          <w:p>
            <w:pPr>
              <w:spacing w:after="0" w:line="264" w:lineRule="auto"/>
            </w:pPr>
            <w:r>
              <w:rPr>
                <w:rFonts w:ascii="Arial" w:hAnsi="Arial"/>
                <w:color w:val="3F3F46"/>
                <w:sz w:val="17"/>
              </w:rPr>
              <w:t>ai_scribe_logs</w:t>
            </w:r>
          </w:p>
        </w:tc>
        <w:tc>
          <w:tcPr>
            <w:tcW w:type="dxa" w:w="1440"/>
            <w:shd w:fill="FFFFFF"/>
            <w:tcMar>
              <w:top w:w="80" w:type="dxa"/>
              <w:bottom w:w="80" w:type="dxa"/>
              <w:left w:w="100" w:type="dxa"/>
              <w:right w:w="100" w:type="dxa"/>
            </w:tcMar>
          </w:tcPr>
          <w:p>
            <w:pPr>
              <w:spacing w:after="0" w:line="264" w:lineRule="auto"/>
            </w:pPr>
            <w:r>
              <w:rPr>
                <w:rFonts w:ascii="Arial" w:hAnsi="Arial"/>
                <w:color w:val="3F3F46"/>
                <w:sz w:val="17"/>
              </w:rPr>
              <w:t>Yes (Foreign key clinic_id)</w:t>
            </w:r>
          </w:p>
        </w:tc>
        <w:tc>
          <w:tcPr>
            <w:tcW w:type="dxa" w:w="3168"/>
            <w:shd w:fill="FFFFFF"/>
            <w:tcMar>
              <w:top w:w="80" w:type="dxa"/>
              <w:bottom w:w="80" w:type="dxa"/>
              <w:left w:w="100" w:type="dxa"/>
              <w:right w:w="100" w:type="dxa"/>
            </w:tcMar>
          </w:tcPr>
          <w:p>
            <w:pPr>
              <w:spacing w:after="0" w:line="264" w:lineRule="auto"/>
            </w:pPr>
            <w:r>
              <w:rPr>
                <w:rFonts w:ascii="Arial" w:hAnsi="Arial"/>
                <w:color w:val="3F3F46"/>
                <w:sz w:val="17"/>
              </w:rPr>
              <w:t>Medical voice scribe audit &amp; latency log schema: CNDP Loi 09-08 compliance, zero raw audio storage, execution duration, and JSONB extraction schema.</w:t>
            </w:r>
          </w:p>
        </w:tc>
      </w:tr>
      <w:tr>
        <w:tc>
          <w:tcPr>
            <w:tcW w:type="dxa" w:w="2592"/>
            <w:shd w:fill="F8FAFC"/>
            <w:tcMar>
              <w:top w:w="80" w:type="dxa"/>
              <w:bottom w:w="80" w:type="dxa"/>
              <w:left w:w="100" w:type="dxa"/>
              <w:right w:w="100" w:type="dxa"/>
            </w:tcMar>
          </w:tcPr>
          <w:p>
            <w:pPr>
              <w:spacing w:after="0" w:line="264" w:lineRule="auto"/>
            </w:pPr>
            <w:r>
              <w:rPr>
                <w:rFonts w:ascii="Arial" w:hAnsi="Arial"/>
                <w:b/>
                <w:color w:val="18181B"/>
                <w:sz w:val="17"/>
              </w:rPr>
              <w:t>V12</w:t>
              <w:br/>
              <w:t>V12__seed_urticaria_allergy_prescription_template.sql</w:t>
            </w:r>
          </w:p>
        </w:tc>
        <w:tc>
          <w:tcPr>
            <w:tcW w:type="dxa" w:w="2160"/>
            <w:shd w:fill="F8FAFC"/>
            <w:tcMar>
              <w:top w:w="80" w:type="dxa"/>
              <w:bottom w:w="80" w:type="dxa"/>
              <w:left w:w="100" w:type="dxa"/>
              <w:right w:w="100" w:type="dxa"/>
            </w:tcMar>
          </w:tcPr>
          <w:p>
            <w:pPr>
              <w:spacing w:after="0" w:line="264" w:lineRule="auto"/>
            </w:pPr>
            <w:r>
              <w:rPr>
                <w:rFonts w:ascii="Arial" w:hAnsi="Arial"/>
                <w:color w:val="3F3F46"/>
                <w:sz w:val="17"/>
              </w:rPr>
              <w:t>medications_catalog, prescription_templates</w:t>
            </w:r>
          </w:p>
        </w:tc>
        <w:tc>
          <w:tcPr>
            <w:tcW w:type="dxa" w:w="1440"/>
            <w:shd w:fill="F8FAFC"/>
            <w:tcMar>
              <w:top w:w="80" w:type="dxa"/>
              <w:bottom w:w="80" w:type="dxa"/>
              <w:left w:w="100" w:type="dxa"/>
              <w:right w:w="100" w:type="dxa"/>
            </w:tcMar>
          </w:tcPr>
          <w:p>
            <w:pPr>
              <w:spacing w:after="0" w:line="264" w:lineRule="auto"/>
            </w:pPr>
            <w:r>
              <w:rPr>
                <w:rFonts w:ascii="Arial" w:hAnsi="Arial"/>
                <w:color w:val="3F3F46"/>
                <w:sz w:val="17"/>
              </w:rPr>
              <w:t>Yes (Global Ordonnance Template &amp; Drug Catalog)</w:t>
            </w:r>
          </w:p>
        </w:tc>
        <w:tc>
          <w:tcPr>
            <w:tcW w:type="dxa" w:w="3168"/>
            <w:shd w:fill="F8FAFC"/>
            <w:tcMar>
              <w:top w:w="80" w:type="dxa"/>
              <w:bottom w:w="80" w:type="dxa"/>
              <w:left w:w="100" w:type="dxa"/>
              <w:right w:w="100" w:type="dxa"/>
            </w:tcMar>
          </w:tcPr>
          <w:p>
            <w:pPr>
              <w:spacing w:after="0" w:line="264" w:lineRule="auto"/>
            </w:pPr>
            <w:r>
              <w:rPr>
                <w:rFonts w:ascii="Arial" w:hAnsi="Arial"/>
                <w:color w:val="3F3F46"/>
                <w:sz w:val="17"/>
              </w:rPr>
              <w:t>Seeded Primalan 10mg &amp; 0.05% Sirop into Moroccan Drug Catalog and added 'Urticaire Aiguë Adulte' 1-click clinical prescription template (Aerius, Primalan, Célestène).</w:t>
            </w:r>
          </w:p>
        </w:tc>
      </w:tr>
    </w:tbl>
    <w:p>
      <w:pPr>
        <w:spacing w:before="160"/>
      </w:pPr>
    </w:p>
    <w:p>
      <w:pPr>
        <w:keepNext/>
        <w:spacing w:before="440" w:after="120"/>
      </w:pPr>
      <w:r>
        <w:rPr>
          <w:rFonts w:ascii="Arial" w:hAnsi="Arial"/>
          <w:b/>
          <w:color w:val="18181B"/>
          <w:sz w:val="32"/>
        </w:rPr>
        <w:t>6. REST API Endpoint Catalog</w:t>
      </w:r>
    </w:p>
    <w:p>
      <w:pPr>
        <w:spacing w:before="0" w:after="120" w:line="276" w:lineRule="auto"/>
      </w:pPr>
      <w:r>
        <w:rPr>
          <w:rFonts w:ascii="Arial" w:hAnsi="Arial"/>
          <w:color w:val="3F3F46"/>
          <w:sz w:val="20"/>
        </w:rPr>
        <w:t>The Dossia platform exposes 47 production endpoints adhering to RESTful conventions and RFC 7807 ProblemDetail error responses.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1152"/>
            <w:shd w:fill="059669"/>
            <w:tcMar>
              <w:top w:w="100" w:type="dxa"/>
              <w:bottom w:w="100" w:type="dxa"/>
              <w:left w:w="100" w:type="dxa"/>
              <w:right w:w="100" w:type="dxa"/>
            </w:tcMar>
          </w:tcPr>
          <w:p>
            <w:pPr>
              <w:spacing w:after="0"/>
            </w:pPr>
            <w:r>
              <w:rPr>
                <w:rFonts w:ascii="Arial" w:hAnsi="Arial"/>
                <w:b/>
                <w:color w:val="FFFFFF"/>
                <w:sz w:val="18"/>
              </w:rPr>
              <w:t>HTTP</w:t>
            </w:r>
          </w:p>
        </w:tc>
        <w:tc>
          <w:tcPr>
            <w:tcW w:type="dxa" w:w="3456"/>
            <w:shd w:fill="059669"/>
            <w:tcMar>
              <w:top w:w="100" w:type="dxa"/>
              <w:bottom w:w="100" w:type="dxa"/>
              <w:left w:w="100" w:type="dxa"/>
              <w:right w:w="100" w:type="dxa"/>
            </w:tcMar>
          </w:tcPr>
          <w:p>
            <w:pPr>
              <w:spacing w:after="0"/>
            </w:pPr>
            <w:r>
              <w:rPr>
                <w:rFonts w:ascii="Arial" w:hAnsi="Arial"/>
                <w:b/>
                <w:color w:val="FFFFFF"/>
                <w:sz w:val="18"/>
              </w:rPr>
              <w:t>Endpoint URI</w:t>
            </w:r>
          </w:p>
        </w:tc>
        <w:tc>
          <w:tcPr>
            <w:tcW w:type="dxa" w:w="1872"/>
            <w:shd w:fill="059669"/>
            <w:tcMar>
              <w:top w:w="100" w:type="dxa"/>
              <w:bottom w:w="100" w:type="dxa"/>
              <w:left w:w="100" w:type="dxa"/>
              <w:right w:w="100" w:type="dxa"/>
            </w:tcMar>
          </w:tcPr>
          <w:p>
            <w:pPr>
              <w:spacing w:after="0"/>
            </w:pPr>
            <w:r>
              <w:rPr>
                <w:rFonts w:ascii="Arial" w:hAnsi="Arial"/>
                <w:b/>
                <w:color w:val="FFFFFF"/>
                <w:sz w:val="18"/>
              </w:rPr>
              <w:t>RBAC Role</w:t>
            </w:r>
          </w:p>
        </w:tc>
        <w:tc>
          <w:tcPr>
            <w:tcW w:type="dxa" w:w="2880"/>
            <w:shd w:fill="059669"/>
            <w:tcMar>
              <w:top w:w="100" w:type="dxa"/>
              <w:bottom w:w="100" w:type="dxa"/>
              <w:left w:w="100" w:type="dxa"/>
              <w:right w:w="100" w:type="dxa"/>
            </w:tcMar>
          </w:tcPr>
          <w:p>
            <w:pPr>
              <w:spacing w:after="0"/>
            </w:pPr>
            <w:r>
              <w:rPr>
                <w:rFonts w:ascii="Arial" w:hAnsi="Arial"/>
                <w:b/>
                <w:color w:val="FFFFFF"/>
                <w:sz w:val="18"/>
              </w:rPr>
              <w:t>Contract Description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/api/v1/auth/login</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PUBLIC</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Authenticates user with email/password; returns signed JWT and profile.</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/api/v1/auth/me</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AUTHENTICATED</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currently authenticated user profile, clinic affiliation, and active role.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Lists all registered medical clinics with tenant search and status filtering.</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/api/v1/admin/clinics/{id}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comprehensive clinic details, users, and subscription records.</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Onboards a new medical clinic practice with validated 15-digit ICE.</w:t>
            </w:r>
          </w:p>
        </w:tc>
      </w:tr>
      <w:tr>
        <w:tc>
          <w:tcPr>
            <w:tcW w:type="dxa" w:w="1152"/>
            <w:shd w:fill="F8FAFC"/>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/api/v1/admin/clinics/{id}/status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Toggles clinic subscription state between ACTIVE and SUSPENDED.</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/api/v1/admin/clinics/{id}/users/{userId}/reset-password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Resets clinic staff credentials to secure temporary password.</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/api/v1/admin/subscriptions/metrics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Aggregates SaaS MRR, active licenses, and clinic retention stats.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/api/v1/admin/audit/logs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SUPER_ADMIN</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Returns global CNDP audit log trail across all tenant practices.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Registers a new patient with Moroccan CIN, phone, and mutuelle insurance.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individual patient demographic and contact dossier.</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paginated patient directory with name and CIN search filter.</w:t>
            </w:r>
          </w:p>
        </w:tc>
      </w:tr>
      <w:tr>
        <w:tc>
          <w:tcPr>
            <w:tcW w:type="dxa" w:w="1152"/>
            <w:shd w:fill="FFFFFF"/>
            <w:tcMar>
              <w:top w:w="70" w:type="dxa"/>
              <w:bottom w:w="70" w:type="dxa"/>
              <w:left w:w="90" w:type="dxa"/>
              <w:right w:w="90" w:type="dxa"/>
            </w:tcMar>
          </w:tcPr>
          <w:p>
            <w:pPr>
              <w:spacing w:after="0" w:line="252" w:lineRule="auto"/>
            </w:pPr>
            <w:r>
              <w:rPr>
                <w:rFonts w:ascii="Arial" w:hAnsi="Arial"/>
                <w:b/>
                <w:color w:val="D97706"/>
                <w:sz w:val="16"/>
              </w:rPr>
              <w:t>PUT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Updates patient demographic or mutuelle details.</w:t>
            </w:r>
          </w:p>
        </w:tc>
      </w:tr>
      <w:tr>
        <w:tc>
          <w:tcPr>
            <w:tcW w:type="dxa" w:w="1152"/>
            <w:shd w:fill="F8FAFC"/>
            <w:tcMar>
              <w:top w:w="70" w:type="dxa"/>
              <w:bottom w:w="70" w:type="dxa"/>
              <w:left w:w="90" w:type="dxa"/>
              <w:right w:w="90" w:type="dxa"/>
            </w:tcMar>
          </w:tcPr>
          <w:p>
            <w:pPr>
              <w:spacing w:after="0" w:line="252" w:lineRule="auto"/>
            </w:pPr>
            <w:r>
              <w:rPr>
                <w:rFonts w:ascii="Arial" w:hAnsi="Arial"/>
                <w:b/>
                <w:color w:val="DC2626"/>
                <w:sz w:val="16"/>
              </w:rPr>
              <w:t>DELETE</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/api/v1/patients/{id}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Executes CNDP-compliant soft delete (marks deleted_at timestamp).</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daily practitioner schedule filtered by date and doctor.</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Schedules a new appointment with slot conflict verification.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appointment details and historical timestamps.</w:t>
            </w:r>
          </w:p>
        </w:tc>
      </w:tr>
      <w:tr>
        <w:tc>
          <w:tcPr>
            <w:tcW w:type="dxa" w:w="1152"/>
            <w:shd w:fill="F8FAFC"/>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/api/v1/agenda/{id}/status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Transitions appointment state (EN_ATTENTE, EN_CONSULTATION, TERMINE, ANNULE).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/api/v1/agenda/stream</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Subscribes client to live SSE stream for waiting-room queue updates.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/api/v1/agenda/{id}/call</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Doctor Pager CTA: alerts reception that physician is calling patient into consultation.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clinical consultation record, observations, and prescription.</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consultation details, diagnostic findings, and prescription lines.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/api/v1/consultations/patient/{patientId}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complete chronological medical history for a patient.</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/api/v1/consultations/{id}/ordonnance/pdf</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downloadable vector OpenPDF medical prescription.</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/api/v1/consultations/catalog/medications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Fast autocomplete query against the 28+ Moroccan drug catalog.</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/api/v1/consultations/templates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available global and custom ordonnance templates.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/api/v1/consultations/templates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a reusable clinical prescription template for the clinic.</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/api/v1/consultations/{consultationId}/bilans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Issues a biological or radiological diagnostic investigation request.</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/api/v1/consultations/bilans/{id}/pdf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official OpenPDF Demande de Bilan Diagnostic document.</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/api/v1/consultations/{consultationId}/certificates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a certified medical leave (arret de travail) or fitness certificate.</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/api/v1/consultations/certificates/{id}/pdf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official OpenPDF Certificat Médical with spellout days.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/api/v1/consultations/voice-scribe/fr</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Streams French medical voice dictation (multipart audio/webm &lt;= 5MB); transcribes and auto-populates consultation vitals and Moroccan drug catalog.</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Creates a consultation invoice with strict MAD BigDecimal totals.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/api/v1/billing/payments</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Registers a payment installment with specified payment method.</w:t>
            </w:r>
          </w:p>
        </w:tc>
      </w:tr>
      <w:tr>
        <w:tc>
          <w:tcPr>
            <w:tcW w:type="dxa" w:w="1152"/>
            <w:shd w:fill="FFFFFF"/>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/api/v1/billing/direct-encaissement</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One-click invoice creation and instant payment settlement in MAD.</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/api/v1/billing/ledger</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Returns daily Caisse journalière totals categorized by payment method.</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invoice details, line items, and payment history.</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/api/v1/billing/invoices/{id}/receipt</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branded OpenPDF payment receipt in Moroccan Dirhams.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/api/v1/billing/invoices/pending</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Lists outstanding unpaid or partially paid patient invoices.</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/api/v1/cnss/generate</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Generates official Feuille de Soins record with AMO act codes.</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/api/v1/cnss/{id}/pdf</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Renders printable OpenPDF Feuille de Soins (FIP-1 compliant layout).</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/api/v1/cnss/patient/{patientId}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Retrieves all insurance claim forms generated for a patient.</w:t>
            </w:r>
          </w:p>
        </w:tc>
      </w:tr>
      <w:tr>
        <w:tc>
          <w:tcPr>
            <w:tcW w:type="dxa" w:w="1152"/>
            <w:shd w:fill="FFFFFF"/>
            <w:tcMar>
              <w:top w:w="70" w:type="dxa"/>
              <w:bottom w:w="70" w:type="dxa"/>
              <w:left w:w="90" w:type="dxa"/>
              <w:right w:w="90" w:type="dxa"/>
            </w:tcMar>
          </w:tcPr>
          <w:p>
            <w:pPr>
              <w:spacing w:after="0" w:line="252" w:lineRule="auto"/>
            </w:pPr>
            <w:r>
              <w:rPr>
                <w:rFonts w:ascii="Arial" w:hAnsi="Arial"/>
                <w:b/>
                <w:color w:val="D97706"/>
                <w:sz w:val="16"/>
              </w:rPr>
              <w:t>PATCH</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/api/v1/cnss/{id}/printed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SECRETARY, DOCTOR</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Marks a Feuille de Soins status as PRINTED for audit tracking.</w:t>
            </w:r>
          </w:p>
        </w:tc>
      </w:tr>
      <w:tr>
        <w:tc>
          <w:tcPr>
            <w:tcW w:type="dxa" w:w="1152"/>
            <w:shd w:fill="F8FAFC"/>
            <w:tcMar>
              <w:top w:w="70" w:type="dxa"/>
              <w:bottom w:w="70" w:type="dxa"/>
              <w:left w:w="90" w:type="dxa"/>
              <w:right w:w="90" w:type="dxa"/>
            </w:tcMar>
          </w:tcPr>
          <w:p>
            <w:pPr>
              <w:spacing w:after="0" w:line="252" w:lineRule="auto"/>
            </w:pPr>
            <w:r>
              <w:rPr>
                <w:rFonts w:ascii="Arial" w:hAnsi="Arial"/>
                <w:b/>
                <w:color w:val="2563EB"/>
                <w:sz w:val="16"/>
              </w:rPr>
              <w:t>POST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/api/v1/documents/upload</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Uploads medical imaging or administrative scan to MinIO vault with automatic CNDP visibility assignment.</w:t>
            </w:r>
          </w:p>
        </w:tc>
      </w:tr>
      <w:tr>
        <w:tc>
          <w:tcPr>
            <w:tcW w:type="dxa" w:w="1152"/>
            <w:shd w:fill="FFFFFF"/>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/api/v1/documents/patient/{patientId}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Retrieves patient document directory filtered by role (Secretaries see only SHARED_SECRETARY).</w:t>
            </w:r>
          </w:p>
        </w:tc>
      </w:tr>
      <w:tr>
        <w:tc>
          <w:tcPr>
            <w:tcW w:type="dxa" w:w="1152"/>
            <w:shd w:fill="F8FAFC"/>
            <w:tcMar>
              <w:top w:w="70" w:type="dxa"/>
              <w:bottom w:w="70" w:type="dxa"/>
              <w:left w:w="90" w:type="dxa"/>
              <w:right w:w="90" w:type="dxa"/>
            </w:tcMar>
          </w:tcPr>
          <w:p>
            <w:pPr>
              <w:spacing w:after="0" w:line="252" w:lineRule="auto"/>
            </w:pPr>
            <w:r>
              <w:rPr>
                <w:rFonts w:ascii="Arial" w:hAnsi="Arial"/>
                <w:b/>
                <w:color w:val="059669"/>
                <w:sz w:val="16"/>
              </w:rPr>
              <w:t>GET</w:t>
            </w:r>
          </w:p>
        </w:tc>
        <w:tc>
          <w:tcPr>
            <w:tcW w:type="dxa" w:w="3456"/>
            <w:shd w:fill="F8FAFC"/>
            <w:tcMar>
              <w:top w:w="70" w:type="dxa"/>
              <w:bottom w:w="70" w:type="dxa"/>
              <w:left w:w="90" w:type="dxa"/>
              <w:right w:w="90" w:type="dxa"/>
            </w:tcMar>
          </w:tcPr>
          <w:p>
            <w:pPr>
              <w:spacing w:after="0" w:line="252" w:lineRule="auto"/>
            </w:pPr>
            <w:r>
              <w:rPr>
                <w:rFonts w:ascii="Arial" w:hAnsi="Arial"/>
                <w:b/>
                <w:color w:val="18181B"/>
                <w:sz w:val="16"/>
              </w:rPr>
              <w:t>/api/v1/documents/{id}/stream</w:t>
            </w:r>
          </w:p>
        </w:tc>
        <w:tc>
          <w:tcPr>
            <w:tcW w:type="dxa" w:w="1872"/>
            <w:shd w:fill="F8FAFC"/>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8FAFC"/>
            <w:tcMar>
              <w:top w:w="70" w:type="dxa"/>
              <w:bottom w:w="70" w:type="dxa"/>
              <w:left w:w="90" w:type="dxa"/>
              <w:right w:w="90" w:type="dxa"/>
            </w:tcMar>
          </w:tcPr>
          <w:p>
            <w:pPr>
              <w:spacing w:after="0" w:line="252" w:lineRule="auto"/>
            </w:pPr>
            <w:r>
              <w:rPr>
                <w:rFonts w:ascii="Arial" w:hAnsi="Arial"/>
                <w:color w:val="3F3F46"/>
                <w:sz w:val="16"/>
              </w:rPr>
              <w:t>Streams binary file with Content-Disposition: inline (Secretaries blocked with 403 on DOCTOR_ONLY).</w:t>
            </w:r>
          </w:p>
        </w:tc>
      </w:tr>
      <w:tr>
        <w:tc>
          <w:tcPr>
            <w:tcW w:type="dxa" w:w="1152"/>
            <w:shd w:fill="FFFFFF"/>
            <w:tcMar>
              <w:top w:w="70" w:type="dxa"/>
              <w:bottom w:w="70" w:type="dxa"/>
              <w:left w:w="90" w:type="dxa"/>
              <w:right w:w="90" w:type="dxa"/>
            </w:tcMar>
          </w:tcPr>
          <w:p>
            <w:pPr>
              <w:spacing w:after="0" w:line="252" w:lineRule="auto"/>
            </w:pPr>
            <w:r>
              <w:rPr>
                <w:rFonts w:ascii="Arial" w:hAnsi="Arial"/>
                <w:b/>
                <w:color w:val="DC2626"/>
                <w:sz w:val="16"/>
              </w:rPr>
              <w:t>DELETE</w:t>
            </w:r>
          </w:p>
        </w:tc>
        <w:tc>
          <w:tcPr>
            <w:tcW w:type="dxa" w:w="3456"/>
            <w:shd w:fill="FFFFFF"/>
            <w:tcMar>
              <w:top w:w="70" w:type="dxa"/>
              <w:bottom w:w="70" w:type="dxa"/>
              <w:left w:w="90" w:type="dxa"/>
              <w:right w:w="90" w:type="dxa"/>
            </w:tcMar>
          </w:tcPr>
          <w:p>
            <w:pPr>
              <w:spacing w:after="0" w:line="252" w:lineRule="auto"/>
            </w:pPr>
            <w:r>
              <w:rPr>
                <w:rFonts w:ascii="Arial" w:hAnsi="Arial"/>
                <w:b/>
                <w:color w:val="18181B"/>
                <w:sz w:val="16"/>
              </w:rPr>
              <w:t>/api/v1/documents/{id}</w:t>
            </w:r>
          </w:p>
        </w:tc>
        <w:tc>
          <w:tcPr>
            <w:tcW w:type="dxa" w:w="1872"/>
            <w:shd w:fill="FFFFFF"/>
            <w:tcMar>
              <w:top w:w="70" w:type="dxa"/>
              <w:bottom w:w="70" w:type="dxa"/>
              <w:left w:w="90" w:type="dxa"/>
              <w:right w:w="90" w:type="dxa"/>
            </w:tcMar>
          </w:tcPr>
          <w:p>
            <w:pPr>
              <w:spacing w:after="0" w:line="252" w:lineRule="auto"/>
            </w:pPr>
            <w:r>
              <w:rPr>
                <w:rFonts w:ascii="Arial" w:hAnsi="Arial"/>
                <w:color w:val="3F3F46"/>
                <w:sz w:val="16"/>
              </w:rPr>
              <w:t>DOCTOR, SECRETARY</w:t>
            </w:r>
          </w:p>
        </w:tc>
        <w:tc>
          <w:tcPr>
            <w:tcW w:type="dxa" w:w="2880"/>
            <w:shd w:fill="FFFFFF"/>
            <w:tcMar>
              <w:top w:w="70" w:type="dxa"/>
              <w:bottom w:w="70" w:type="dxa"/>
              <w:left w:w="90" w:type="dxa"/>
              <w:right w:w="90" w:type="dxa"/>
            </w:tcMar>
          </w:tcPr>
          <w:p>
            <w:pPr>
              <w:spacing w:after="0" w:line="252" w:lineRule="auto"/>
            </w:pPr>
            <w:r>
              <w:rPr>
                <w:rFonts w:ascii="Arial" w:hAnsi="Arial"/>
                <w:color w:val="3F3F46"/>
                <w:sz w:val="16"/>
              </w:rPr>
              <w:t>Executes CNDP-compliant soft delete (marks deleted_at timestamp) on patient document.</w:t>
            </w:r>
          </w:p>
        </w:tc>
      </w:tr>
    </w:tbl>
    <w:p>
      <w:pPr>
        <w:spacing w:before="160"/>
      </w:pPr>
    </w:p>
    <w:p>
      <w:pPr>
        <w:keepNext/>
        <w:spacing w:before="440" w:after="120"/>
      </w:pPr>
      <w:r>
        <w:rPr>
          <w:rFonts w:ascii="Arial" w:hAnsi="Arial"/>
          <w:b/>
          <w:color w:val="18181B"/>
          <w:sz w:val="32"/>
        </w:rPr>
        <w:t>7. Frontend Workspaces &amp; UX Ergonomics</w:t>
      </w:r>
    </w:p>
    <w:p>
      <w:pPr>
        <w:spacing w:before="0" w:after="120" w:line="276" w:lineRule="auto"/>
      </w:pPr>
      <w:r>
        <w:rPr>
          <w:rFonts w:ascii="Arial" w:hAnsi="Arial"/>
          <w:color w:val="3F3F46"/>
          <w:sz w:val="20"/>
        </w:rPr>
        <w:t>The Dossia frontend is structured into dedicated, role-gated workspaces. Each workspace adheres to the 'Secretary-First' high-density design system defined in skill 01-premium-ui-craft.md.</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3120"/>
        <w:gridCol w:w="3120"/>
        <w:gridCol w:w="3120"/>
      </w:tblGrid>
      <w:tr>
        <w:tc>
          <w:tcPr>
            <w:tcW w:type="dxa" w:w="2592"/>
            <w:shd w:fill="059669"/>
            <w:tcMar>
              <w:top w:w="100" w:type="dxa"/>
              <w:bottom w:w="100" w:type="dxa"/>
              <w:left w:w="120" w:type="dxa"/>
              <w:right w:w="120" w:type="dxa"/>
            </w:tcMar>
          </w:tcPr>
          <w:p>
            <w:pPr>
              <w:spacing w:after="0"/>
            </w:pPr>
            <w:r>
              <w:rPr>
                <w:rFonts w:ascii="Arial" w:hAnsi="Arial"/>
                <w:b/>
                <w:color w:val="FFFFFF"/>
                <w:sz w:val="19"/>
              </w:rPr>
              <w:t>Workspace &amp; Route</w:t>
            </w:r>
          </w:p>
        </w:tc>
        <w:tc>
          <w:tcPr>
            <w:tcW w:type="dxa" w:w="2592"/>
            <w:shd w:fill="059669"/>
            <w:tcMar>
              <w:top w:w="100" w:type="dxa"/>
              <w:bottom w:w="100" w:type="dxa"/>
              <w:left w:w="120" w:type="dxa"/>
              <w:right w:w="120" w:type="dxa"/>
            </w:tcMar>
          </w:tcPr>
          <w:p>
            <w:pPr>
              <w:spacing w:after="0"/>
            </w:pPr>
            <w:r>
              <w:rPr>
                <w:rFonts w:ascii="Arial" w:hAnsi="Arial"/>
                <w:b/>
                <w:color w:val="FFFFFF"/>
                <w:sz w:val="19"/>
              </w:rPr>
              <w:t>Core Technologies</w:t>
            </w:r>
          </w:p>
        </w:tc>
        <w:tc>
          <w:tcPr>
            <w:tcW w:type="dxa" w:w="4176"/>
            <w:shd w:fill="059669"/>
            <w:tcMar>
              <w:top w:w="100" w:type="dxa"/>
              <w:bottom w:w="100" w:type="dxa"/>
              <w:left w:w="120" w:type="dxa"/>
              <w:right w:w="120" w:type="dxa"/>
            </w:tcMar>
          </w:tcPr>
          <w:p>
            <w:pPr>
              <w:spacing w:after="0"/>
            </w:pPr>
            <w:r>
              <w:rPr>
                <w:rFonts w:ascii="Arial" w:hAnsi="Arial"/>
                <w:b/>
                <w:color w:val="FFFFFF"/>
                <w:sz w:val="19"/>
              </w:rPr>
              <w:t>Ergonomics &amp; Clinical Workflow</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Public Landing &amp; ROI Engine</w:t>
              <w:br/>
              <w:t>/</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Three.js Canvas, Lucide React, Tailwind CSS v4</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Interactive showcase featuring a dynamic 3D medical network visualization and a live Moroccan clinic financial ROI calculator in MAD.</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Secretary Front-Desk Workspace</w:t>
              <w:br/>
              <w:t>/app (Secretary Role)</w:t>
            </w:r>
          </w:p>
        </w:tc>
        <w:tc>
          <w:tcPr>
            <w:tcW w:type="dxa" w:w="2592"/>
            <w:shd w:fill="F8FAFC"/>
            <w:tcMar>
              <w:top w:w="90" w:type="dxa"/>
              <w:bottom w:w="90" w:type="dxa"/>
              <w:left w:w="120" w:type="dxa"/>
              <w:right w:w="120" w:type="dxa"/>
            </w:tcMar>
          </w:tcPr>
          <w:p>
            <w:pPr>
              <w:spacing w:after="0" w:line="276" w:lineRule="auto"/>
            </w:pPr>
            <w:r>
              <w:rPr>
                <w:rFonts w:ascii="Arial" w:hAnsi="Arial"/>
                <w:color w:val="3F3F46"/>
                <w:sz w:val="18"/>
              </w:rPr>
              <w:t>Zustand, TanStack Query, Radix UI Dialog, Global Command Palette</w:t>
            </w:r>
          </w:p>
        </w:tc>
        <w:tc>
          <w:tcPr>
            <w:tcW w:type="dxa" w:w="4176"/>
            <w:shd w:fill="F8FAFC"/>
            <w:tcMar>
              <w:top w:w="90" w:type="dxa"/>
              <w:bottom w:w="90" w:type="dxa"/>
              <w:left w:w="120" w:type="dxa"/>
              <w:right w:w="120" w:type="dxa"/>
            </w:tcMar>
          </w:tcPr>
          <w:p>
            <w:pPr>
              <w:spacing w:after="0" w:line="276" w:lineRule="auto"/>
            </w:pPr>
            <w:r>
              <w:rPr>
                <w:rFonts w:ascii="Arial" w:hAnsi="Arial"/>
                <w:color w:val="3F3F46"/>
                <w:sz w:val="18"/>
              </w:rPr>
              <w:t>High-density reception dashboard engineered for the 3-second SLA. Features real-time waiting room FIFO display, instant walk-in check-in, fast slot booking, and quick direct encaissement.</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Doctor Clinical Speed Workspace</w:t>
              <w:br/>
              <w:t>/app (Doctor Role)</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Clinical Speed Engine, VoiceScribeBar, Web Audio API, OpenPDF Viewer, Tabbed Clinical Panels</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Physician cockpit with Doctor Pager CTA, French Medical Voice Scribe (Alt+R, live audio waveform, CNDP zero-PII audio streaming, 3-second emerald ring validation), sub-minute ordonnance generation with Moroccan drug search, one-click template insertion, diagnostic requests, and sick-leave certificates.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Caisse Journalière Workspace</w:t>
              <w:br/>
              <w:t>/app/caisse</w:t>
            </w:r>
          </w:p>
        </w:tc>
        <w:tc>
          <w:tcPr>
            <w:tcW w:type="dxa" w:w="2592"/>
            <w:shd w:fill="F8FAFC"/>
            <w:tcMar>
              <w:top w:w="90" w:type="dxa"/>
              <w:bottom w:w="90" w:type="dxa"/>
              <w:left w:w="120" w:type="dxa"/>
              <w:right w:w="120" w:type="dxa"/>
            </w:tcMar>
          </w:tcPr>
          <w:p>
            <w:pPr>
              <w:spacing w:after="0" w:line="276" w:lineRule="auto"/>
            </w:pPr>
            <w:r>
              <w:rPr>
                <w:rFonts w:ascii="Arial" w:hAnsi="Arial"/>
                <w:color w:val="3F3F46"/>
                <w:sz w:val="18"/>
              </w:rPr>
              <w:t>Lucide React, Tabular Mono Font, OpenPDF Receipt Generator</w:t>
            </w:r>
          </w:p>
        </w:tc>
        <w:tc>
          <w:tcPr>
            <w:tcW w:type="dxa" w:w="4176"/>
            <w:shd w:fill="F8FAFC"/>
            <w:tcMar>
              <w:top w:w="90" w:type="dxa"/>
              <w:bottom w:w="90" w:type="dxa"/>
              <w:left w:w="120" w:type="dxa"/>
              <w:right w:w="120" w:type="dxa"/>
            </w:tcMar>
          </w:tcPr>
          <w:p>
            <w:pPr>
              <w:spacing w:after="0" w:line="276" w:lineRule="auto"/>
            </w:pPr>
            <w:r>
              <w:rPr>
                <w:rFonts w:ascii="Arial" w:hAnsi="Arial"/>
                <w:color w:val="3F3F46"/>
                <w:sz w:val="18"/>
              </w:rPr>
              <w:t>Financial register view displaying real-time daily cash, TPE card, cheque, and transfer totals in MAD with one-click receipt printing.</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Super Admin Governance Portal</w:t>
              <w:br/>
              <w:t>/admin/*</w:t>
            </w:r>
          </w:p>
        </w:tc>
        <w:tc>
          <w:tcPr>
            <w:tcW w:type="dxa" w:w="2592"/>
            <w:shd w:fill="FFFFFF"/>
            <w:tcMar>
              <w:top w:w="90" w:type="dxa"/>
              <w:bottom w:w="90" w:type="dxa"/>
              <w:left w:w="120" w:type="dxa"/>
              <w:right w:w="120" w:type="dxa"/>
            </w:tcMar>
          </w:tcPr>
          <w:p>
            <w:pPr>
              <w:spacing w:after="0" w:line="276" w:lineRule="auto"/>
            </w:pPr>
            <w:r>
              <w:rPr>
                <w:rFonts w:ascii="Arial" w:hAnsi="Arial"/>
                <w:color w:val="3F3F46"/>
                <w:sz w:val="18"/>
              </w:rPr>
              <w:t>AdminLayout, ProtectedRoute, RoleGuard, CNDP Audit Table</w:t>
            </w:r>
          </w:p>
        </w:tc>
        <w:tc>
          <w:tcPr>
            <w:tcW w:type="dxa" w:w="4176"/>
            <w:shd w:fill="FFFFFF"/>
            <w:tcMar>
              <w:top w:w="90" w:type="dxa"/>
              <w:bottom w:w="90" w:type="dxa"/>
              <w:left w:w="120" w:type="dxa"/>
              <w:right w:w="120" w:type="dxa"/>
            </w:tcMar>
          </w:tcPr>
          <w:p>
            <w:pPr>
              <w:spacing w:after="0" w:line="276" w:lineRule="auto"/>
            </w:pPr>
            <w:r>
              <w:rPr>
                <w:rFonts w:ascii="Arial" w:hAnsi="Arial"/>
                <w:color w:val="3F3F46"/>
                <w:sz w:val="18"/>
              </w:rPr>
              <w:t>Multi-tenant cabinet directory, 15-digit ICE validation, subscription state toggles (ACTIVE/SUSPENDED), user credential reset modal, and CNDP audit log inspector.</w:t>
            </w:r>
          </w:p>
        </w:tc>
      </w:tr>
    </w:tbl>
    <w:p>
      <w:pPr>
        <w:spacing w:before="160"/>
      </w:pPr>
    </w:p>
    <w:p>
      <w:pPr>
        <w:keepNext/>
        <w:spacing w:before="440" w:after="120"/>
      </w:pPr>
      <w:r>
        <w:rPr>
          <w:rFonts w:ascii="Arial" w:hAnsi="Arial"/>
          <w:b/>
          <w:color w:val="18181B"/>
          <w:sz w:val="32"/>
        </w:rPr>
        <w:t>8. Living Feature &amp; Architecture Changelog</w:t>
      </w:r>
    </w:p>
    <w:p>
      <w:pPr>
        <w:spacing w:before="0" w:after="120" w:line="276" w:lineRule="auto"/>
      </w:pPr>
      <w:r>
        <w:rPr>
          <w:rFonts w:ascii="Arial" w:hAnsi="Arial"/>
          <w:color w:val="3F3F46"/>
          <w:sz w:val="20"/>
        </w:rPr>
        <w:t>This chronological ledger logs every completed development phase. Per AGENTS.md Section 4, agents must append new phases upon completing functional capabilities or architectural modifications.</w:t>
      </w:r>
    </w:p>
    <w:tbl>
      <w:tblPr>
        <w:tblW w:type="auto" w:w="0"/>
        <w:jc w:val="center"/>
        <w:tblLayout w:type="fixed"/>
        <w:tblLook w:firstColumn="1" w:firstRow="1" w:lastColumn="0" w:lastRow="0" w:noHBand="0" w:noVBand="1" w:val="04A0"/>
        <w:tblBorders>
          <w:top w:val="single" w:sz="6" w:space="0" w:color="E4E4E7"/>
          <w:bottom w:val="single" w:sz="6" w:space="0" w:color="E4E4E7"/>
          <w:left w:val="none"/>
          <w:right w:val="none"/>
          <w:insideH w:val="single" w:sz="4" w:space="0" w:color="E4E4E7"/>
          <w:insideV w:val="none"/>
        </w:tblBorders>
      </w:tblPr>
      <w:tblGrid>
        <w:gridCol w:w="2340"/>
        <w:gridCol w:w="2340"/>
        <w:gridCol w:w="2340"/>
        <w:gridCol w:w="2340"/>
      </w:tblGrid>
      <w:tr>
        <w:tc>
          <w:tcPr>
            <w:tcW w:type="dxa" w:w="2592"/>
            <w:shd w:fill="059669"/>
            <w:tcMar>
              <w:top w:w="100" w:type="dxa"/>
              <w:bottom w:w="100" w:type="dxa"/>
              <w:left w:w="120" w:type="dxa"/>
              <w:right w:w="120" w:type="dxa"/>
            </w:tcMar>
          </w:tcPr>
          <w:p>
            <w:pPr>
              <w:spacing w:after="0"/>
            </w:pPr>
            <w:r>
              <w:rPr>
                <w:rFonts w:ascii="Arial" w:hAnsi="Arial"/>
                <w:b/>
                <w:color w:val="FFFFFF"/>
                <w:sz w:val="19"/>
              </w:rPr>
              <w:t>Phase &amp; Scope</w:t>
            </w:r>
          </w:p>
        </w:tc>
        <w:tc>
          <w:tcPr>
            <w:tcW w:type="dxa" w:w="1584"/>
            <w:shd w:fill="059669"/>
            <w:tcMar>
              <w:top w:w="100" w:type="dxa"/>
              <w:bottom w:w="100" w:type="dxa"/>
              <w:left w:w="120" w:type="dxa"/>
              <w:right w:w="120" w:type="dxa"/>
            </w:tcMar>
          </w:tcPr>
          <w:p>
            <w:pPr>
              <w:spacing w:after="0"/>
            </w:pPr>
            <w:r>
              <w:rPr>
                <w:rFonts w:ascii="Arial" w:hAnsi="Arial"/>
                <w:b/>
                <w:color w:val="FFFFFF"/>
                <w:sz w:val="19"/>
              </w:rPr>
              <w:t>Date</w:t>
            </w:r>
          </w:p>
        </w:tc>
        <w:tc>
          <w:tcPr>
            <w:tcW w:type="dxa" w:w="1296"/>
            <w:shd w:fill="059669"/>
            <w:tcMar>
              <w:top w:w="100" w:type="dxa"/>
              <w:bottom w:w="100" w:type="dxa"/>
              <w:left w:w="120" w:type="dxa"/>
              <w:right w:w="120" w:type="dxa"/>
            </w:tcMar>
          </w:tcPr>
          <w:p>
            <w:pPr>
              <w:spacing w:after="0"/>
            </w:pPr>
            <w:r>
              <w:rPr>
                <w:rFonts w:ascii="Arial" w:hAnsi="Arial"/>
                <w:b/>
                <w:color w:val="FFFFFF"/>
                <w:sz w:val="19"/>
              </w:rPr>
              <w:t>Migrations</w:t>
            </w:r>
          </w:p>
        </w:tc>
        <w:tc>
          <w:tcPr>
            <w:tcW w:type="dxa" w:w="3888"/>
            <w:shd w:fill="059669"/>
            <w:tcMar>
              <w:top w:w="100" w:type="dxa"/>
              <w:bottom w:w="100" w:type="dxa"/>
              <w:left w:w="120" w:type="dxa"/>
              <w:right w:w="120" w:type="dxa"/>
            </w:tcMar>
          </w:tcPr>
          <w:p>
            <w:pPr>
              <w:spacing w:after="0"/>
            </w:pPr>
            <w:r>
              <w:rPr>
                <w:rFonts w:ascii="Arial" w:hAnsi="Arial"/>
                <w:b/>
                <w:color w:val="FFFFFF"/>
                <w:sz w:val="19"/>
              </w:rPr>
              <w:t>Architectural Enhancements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 Patient Domain Foundation</w:t>
              <w:br/>
              <w:t>(backend:patient, frontend:patients)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V1</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Core patient registry with Moroccan CIN uniqueness, phone normalization (+212), mutuelle type, and CNDP audit columns.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2: Smart Agenda &amp; Scheduling</w:t>
              <w:br/>
              <w:t>(backend:agenda, frontend:agenda)</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V2</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Multi-practitioner scheduling calendar with optimistic locking and sub-3-second appointment reservation.</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3: Clinical Consultation &amp; Ordonnances</w:t>
              <w:br/>
              <w:t>(backend:consultation, frontend:consultation)</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V3</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Clinical consultation records, diagnostic findings, vitals, and vector OpenPDF prescription generator.</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4: Caisse Journalière &amp; MAD Accounting</w:t>
              <w:br/>
              <w:t>(backend:billing, frontend:caisse)</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V4</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Financial ledger with strict BigDecimal MAD currency precision, split payment support, and official payment receipts.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5: CNSS / AMO Feuille de Soins Generator</w:t>
              <w:br/>
              <w:t>(backend:cnss, frontend:cnss)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V5</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Standardized Moroccan AMO reimbursement claim generator (FIP-1 to FIP-8) with practitioner INPE and print tracking.</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6: Multi-Tenancy SaaS Foundation &amp; RBAC</w:t>
              <w:br/>
              <w:t>(backend:auth, backend:admin, frontend:admin)</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V6</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Full multi-tenant architecture: clinics table with 15-digit ICE, users table with SUPER_ADMIN, DOCTOR, SECRETARY roles, and clinic_id scoping.</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7: Real-Time SSE Waiting Room &amp; Doctor Pager</w:t>
              <w:br/>
              <w:t>(backend:agenda, docker:nginx, frontend:dashboard)</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V7</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Real-time waiting room FIFO tracking (arrived_at, called_at), multi-tenant SSE streaming with unbuffered Nginx proxy, and Doctor Pager CTA.</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8: Clinical Speed Engine &amp; Drug Catalog</w:t>
              <w:br/>
              <w:t>(backend:consultation, frontend:consultation)</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V8</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Moroccan medication catalog (28 pre-seeded drugs), prescription templates, diagnostic requests (bilans), medical certificates, and OpenPDF generators.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9: Living Word Architecture Documentation Engine</w:t>
              <w:br/>
              <w:t>(docs, scripts, skills)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(Documentation Governance)</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Established automated python-docx specification engine, Living Architecture Document Protocol skill (06), and permanent AGENTS.md DoD rule.</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10: Coffre-Fort Documents &amp; Imagerie (MinIO S3)</w:t>
              <w:br/>
              <w:t>(backend:vault, docker:minio, frontend:vault)</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V9</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100% on-premise Moroccan medical vault (MinIO), multi-tenant object namespaces, CNDP doctor vs. secretary privacy isolation, slide-over negative contrast split viewer for radiography, and full soft-delete auditability.</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11: Authentic Moroccan Clinical Practice Dataset</w:t>
              <w:br/>
              <w:t>(backend:db, docker:postgres, docker:minio)</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V10</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Full clinical lifecycle dataset for Clinique Ibn Sina Agadir: 10 Moroccan patients with authentic identities (CIN, CNSS/CNOPS, E.164 phone numbers), dynamic agenda queue with real-time waiting room FIFO tracking, completed consultations with vitals and Moroccan drug prescriptions, active daily caisse ledger in MAD across cash/TPE/cheque, diagnostic requests, sick-leave certificates, and vault documents with MinIO binary objects.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12: French Medical Voice-to-Form Scribe (Dictée Vocale Clinique)</w:t>
              <w:br/>
              <w:t>(backend:consultation, frontend:consultation, db:flyway)</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V11</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Implemented French Medical Voice-to-Form Scribe: CNDP Loi 09-08 Zero-PII audio processing, native browser Web Speech API (fr-FR) with real-time speech preview badge, 60s dedicated client timeout with 30s global default, backend RestClient with 15s connect / 50s read timeouts, multi-model AI resilience fallback pipeline (gpt-5.6-luna -&gt; gemini-3.7-flash -&gt; deepseek-v4-flash-0731) on Radox AI gateway (https://radoxai.com/v1), OpenAI JSON-mode structured extraction, Moroccan drug catalog matching (Inexium, Spasfon, Augmentin, etc.), VoiceScribeBar equalizer, and reactive auto-fill with emerald ring highlights.</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13: Patient Medical History Timeline &amp; 1-Click Prescription Renewal</w:t>
              <w:br/>
              <w:t>(frontend:consultation, frontend:patients)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(Full Schema &amp; API Re-use)</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Implemented interactive Patient Medical History Timeline (PatientMedicalHistoryModal) wired to GET /api/v1/consultations/patient/{id}. Accessible via 1-click on the Patients table (/app/patients) and directly in the ConsultationWorkspace (/app/consultations). Features vital signs summary (TA, Poids, Pouls), chronological expandable cards with diagnoses and full Moroccan prescriptions, instant OpenPDF prescription reprint, and 1-click renewal injecting historical treatments into the active consultation form with 3-second emerald ring feedback.</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14: Vault Realistic Binary Generation &amp; High-Fidelity Medical Assets</w:t>
              <w:br/>
              <w:t>(backend:vault, docker:minio, frontend:vault, scripts)</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V10 (Updated byte lengths)</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Replaced placeholder 44-byte mock seed files in MinIO with genuine, renderable binary assets: authentic Moroccan CNOPS/AMO Attestation d'Adhésion PDF with kingdom header and coverage table, laboratory biology panel PDF, grayscale abdominal ultrasound scan PNG with acoustic speckle and hepatic calipers, and lumbar spine X-ray radiograph JPEG. Synchronized PostgreSQL patient_documents file_size_bytes ledger and polished frontend vault size formatters with dynamic Ko/Mo/bytes unit precision.</w:t>
            </w:r>
          </w:p>
        </w:tc>
      </w:tr>
      <w:tr>
        <w:tc>
          <w:tcPr>
            <w:tcW w:type="dxa" w:w="2592"/>
            <w:shd w:fill="FFFFFF"/>
            <w:tcMar>
              <w:top w:w="90" w:type="dxa"/>
              <w:bottom w:w="90" w:type="dxa"/>
              <w:left w:w="120" w:type="dxa"/>
              <w:right w:w="120" w:type="dxa"/>
            </w:tcMar>
          </w:tcPr>
          <w:p>
            <w:pPr>
              <w:spacing w:after="0" w:line="276" w:lineRule="auto"/>
            </w:pPr>
            <w:r>
              <w:rPr>
                <w:rFonts w:ascii="Arial" w:hAnsi="Arial"/>
                <w:b/>
                <w:color w:val="18181B"/>
                <w:sz w:val="18"/>
              </w:rPr>
              <w:t>Phase 15: AI Provider Resilience &amp; Envoy Chunked Stream Converter Fix</w:t>
              <w:br/>
              <w:t>(backend:consultation, docker:backend, scripts)</w:t>
            </w:r>
          </w:p>
        </w:tc>
        <w:tc>
          <w:tcPr>
            <w:tcW w:type="dxa" w:w="1584"/>
            <w:shd w:fill="FFFFFF"/>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FFFFF"/>
            <w:tcMar>
              <w:top w:w="90" w:type="dxa"/>
              <w:bottom w:w="90" w:type="dxa"/>
              <w:left w:w="120" w:type="dxa"/>
              <w:right w:w="120" w:type="dxa"/>
            </w:tcMar>
          </w:tcPr>
          <w:p>
            <w:pPr>
              <w:spacing w:after="0" w:line="276" w:lineRule="auto"/>
            </w:pPr>
            <w:r>
              <w:rPr>
                <w:rFonts w:ascii="Arial" w:hAnsi="Arial"/>
                <w:color w:val="3F3F46"/>
                <w:sz w:val="18"/>
              </w:rPr>
              <w:t>N/A (HTTP Protocol &amp; Scribe Deserializer Hardening)</w:t>
            </w:r>
          </w:p>
        </w:tc>
        <w:tc>
          <w:tcPr>
            <w:tcW w:type="dxa" w:w="3888"/>
            <w:shd w:fill="FFFFFF"/>
            <w:tcMar>
              <w:top w:w="90" w:type="dxa"/>
              <w:bottom w:w="90" w:type="dxa"/>
              <w:left w:w="120" w:type="dxa"/>
              <w:right w:w="120" w:type="dxa"/>
            </w:tcMar>
          </w:tcPr>
          <w:p>
            <w:pPr>
              <w:spacing w:after="0" w:line="276" w:lineRule="auto"/>
            </w:pPr>
            <w:r>
              <w:rPr>
                <w:rFonts w:ascii="Arial" w:hAnsi="Arial"/>
                <w:color w:val="3F3F46"/>
                <w:sz w:val="18"/>
              </w:rPr>
              <w:t>Fixed HttpMessageConverterExtractor failure when upstream Envoy proxy returns chunked application/octet-stream by switching RestClient response extraction to byte[] with Jackson ObjectMapper, added explicit Accept headers, broadened AI fallback model chain across multi-provider catalogs (deepseek-v4-flash-0731, deepseek-v4-pro-0813, qwen3.8-27b, kimi-k2.6, glm-5.3, gemini-3.7-flash, gpt-5.6-luna), and prevented mock simulation from overriding doctor's actual clinical dictations.</w:t>
            </w:r>
          </w:p>
        </w:tc>
      </w:tr>
      <w:tr>
        <w:tc>
          <w:tcPr>
            <w:tcW w:type="dxa" w:w="2592"/>
            <w:shd w:fill="F8FAFC"/>
            <w:tcMar>
              <w:top w:w="90" w:type="dxa"/>
              <w:bottom w:w="90" w:type="dxa"/>
              <w:left w:w="120" w:type="dxa"/>
              <w:right w:w="120" w:type="dxa"/>
            </w:tcMar>
          </w:tcPr>
          <w:p>
            <w:pPr>
              <w:spacing w:after="0" w:line="276" w:lineRule="auto"/>
            </w:pPr>
            <w:r>
              <w:rPr>
                <w:rFonts w:ascii="Arial" w:hAnsi="Arial"/>
                <w:b/>
                <w:color w:val="18181B"/>
                <w:sz w:val="18"/>
              </w:rPr>
              <w:t>Phase 16: Voice Scribe Timeout Synchronization, Speech Artifact Correction &amp; Allergy Protocol</w:t>
              <w:br/>
              <w:t>(backend:consultation, docker:backend, frontend:consultation, flyway:V12)</w:t>
            </w:r>
          </w:p>
        </w:tc>
        <w:tc>
          <w:tcPr>
            <w:tcW w:type="dxa" w:w="1584"/>
            <w:shd w:fill="F8FAFC"/>
            <w:tcMar>
              <w:top w:w="90" w:type="dxa"/>
              <w:bottom w:w="90" w:type="dxa"/>
              <w:left w:w="120" w:type="dxa"/>
              <w:right w:w="120" w:type="dxa"/>
            </w:tcMar>
          </w:tcPr>
          <w:p>
            <w:pPr>
              <w:spacing w:after="0" w:line="276" w:lineRule="auto"/>
            </w:pPr>
            <w:r>
              <w:rPr>
                <w:rFonts w:ascii="Arial" w:hAnsi="Arial"/>
                <w:color w:val="3F3F46"/>
                <w:sz w:val="18"/>
              </w:rPr>
              <w:t>October 2026</w:t>
            </w:r>
          </w:p>
        </w:tc>
        <w:tc>
          <w:tcPr>
            <w:tcW w:type="dxa" w:w="1296"/>
            <w:shd w:fill="F8FAFC"/>
            <w:tcMar>
              <w:top w:w="90" w:type="dxa"/>
              <w:bottom w:w="90" w:type="dxa"/>
              <w:left w:w="120" w:type="dxa"/>
              <w:right w:w="120" w:type="dxa"/>
            </w:tcMar>
          </w:tcPr>
          <w:p>
            <w:pPr>
              <w:spacing w:after="0" w:line="276" w:lineRule="auto"/>
            </w:pPr>
            <w:r>
              <w:rPr>
                <w:rFonts w:ascii="Arial" w:hAnsi="Arial"/>
                <w:color w:val="3F3F46"/>
                <w:sz w:val="18"/>
              </w:rPr>
              <w:t>V12__seed_urticaria_allergy_prescription_template.sql</w:t>
            </w:r>
          </w:p>
        </w:tc>
        <w:tc>
          <w:tcPr>
            <w:tcW w:type="dxa" w:w="3888"/>
            <w:shd w:fill="F8FAFC"/>
            <w:tcMar>
              <w:top w:w="90" w:type="dxa"/>
              <w:bottom w:w="90" w:type="dxa"/>
              <w:left w:w="120" w:type="dxa"/>
              <w:right w:w="120" w:type="dxa"/>
            </w:tcMar>
          </w:tcPr>
          <w:p>
            <w:pPr>
              <w:spacing w:after="0" w:line="276" w:lineRule="auto"/>
            </w:pPr>
            <w:r>
              <w:rPr>
                <w:rFonts w:ascii="Arial" w:hAnsi="Arial"/>
                <w:color w:val="3F3F46"/>
                <w:sz w:val="18"/>
              </w:rPr>
              <w:t>Resolved Voice Scribe timeout issue where cloud LLMs with reasoning took 20-35s while socket readTimeout was prematurely set to 12s, causing forced fallback to empty mock data. Extended backend readTimeout to 55s (connectTimeout 10s) and frontend Axios timeout to 75s. Configured ultra-fast minimax-m3 (11.8s latency) with fallback chain (qwen3.8-27b, deepseek-v4-flash-0731). Hardened system prompt and regexes to handle speech-to-text acoustic artifacts ('en sur 7' -&gt; 11/7, 'pulses 80' -&gt; 80 bpm, 'erius 5000 g' -&gt; Aerius 5mg, 'prix malin' -&gt; Primalan). Seeded Flyway V12 with Primalan into Moroccan Drug Catalog and preloaded 'Urticaire Aiguë Adulte' 1-click prescription template.</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