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695D6177"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E2E9F5"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This project is an ambitious endeavour to revolutionize the art industry by introducing a digital platform that fundamentally transforms how art is shared and experienced. With the goal of creating a universally accessible and engaging space, the project seeks to address the current limitations of the art world by providing a solution that is inclusive, educational, and innovative.</w:t>
      </w:r>
    </w:p>
    <w:p w14:paraId="3DFDB25F" w14:textId="1AB52EF8"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richer,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415D3B7D" w:rsidR="00691917" w:rsidRPr="00691917" w:rsidRDefault="00691917" w:rsidP="00BD678D">
      <w:pPr>
        <w:jc w:val="left"/>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500 words</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Give some background on the problem you intend to solve and the need for</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the software/application. Use references to support your statements, when</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possible, illustrations, diagrams, and figures, if needed.</w:t>
      </w:r>
    </w:p>
    <w:p w14:paraId="45D52B23" w14:textId="77777777"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The realm of art has been a hub for creative expression and progress for ages. Nonetheless, we cannot overlook the obstacles it encounters with regards to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that are likely to appeal to the tech-savvy generation. This transformation will not only benefit artists and art enthusiasts but also prove advantageous to budding talent seeking the exposure required for success.</w:t>
      </w:r>
    </w:p>
    <w:p w14:paraId="0018CA5D" w14:textId="325D2596"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regrettable that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In such circumstances, institutions with limited financial and staffing capacities may be forced to </w:t>
      </w:r>
      <w:r>
        <w:rPr>
          <w:rFonts w:ascii="Arial" w:hAnsi="Arial" w:cs="Arial"/>
          <w:color w:val="1C1C1C"/>
          <w:szCs w:val="22"/>
          <w:shd w:val="clear" w:color="auto" w:fill="FFFFFF"/>
        </w:rPr>
        <w:t>prioritise</w:t>
      </w:r>
      <w:r w:rsidRPr="00F47E1A">
        <w:rPr>
          <w:rFonts w:ascii="Arial" w:hAnsi="Arial" w:cs="Arial"/>
          <w:color w:val="1C1C1C"/>
          <w:szCs w:val="22"/>
          <w:shd w:val="clear" w:color="auto" w:fill="FFFFFF"/>
        </w:rPr>
        <w:t xml:space="preserve"> established artists over emerging talent.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lastRenderedPageBreak/>
        <w:t xml:space="preserve">Furthermore, the current methods used to display and share artwork are not conducive to the digital-native generation, which seeks immediacy, interactivity, and 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1C2799F"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art display</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7F22D3C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490C5B"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what 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lastRenderedPageBreak/>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4FE3E27D" w:rsidR="00691917" w:rsidRPr="00691917" w:rsidRDefault="00691917" w:rsidP="00BD678D">
      <w:pPr>
        <w:spacing w:line="276" w:lineRule="auto"/>
        <w:jc w:val="left"/>
        <w:rPr>
          <w:rFonts w:ascii="Arial" w:hAnsi="Arial" w:cs="Arial"/>
          <w:sz w:val="24"/>
        </w:rPr>
      </w:pPr>
      <w:r w:rsidRPr="00691917">
        <w:rPr>
          <w:rFonts w:ascii="Arial" w:hAnsi="Arial" w:cs="Arial"/>
          <w:sz w:val="24"/>
        </w:rPr>
        <w:t>By collaborating with art historians and curators, we will curate a dynamic range of artworks that reflects the rich tapestry of global artistic expression, powered by an algorithm designed to personalize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77B9CF40"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prioritize making the platform accessible to all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1799F722"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that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477A7E45"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partnerships and exploring new technologies like VR to further enrich the user experience</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A930A42" w14:textId="1D1446EE" w:rsidR="0065402F" w:rsidRPr="00533A53" w:rsidRDefault="0065402F" w:rsidP="00183565">
      <w:pPr>
        <w:spacing w:line="276" w:lineRule="auto"/>
        <w:rPr>
          <w:rFonts w:ascii="Arial" w:hAnsi="Arial" w:cs="Arial"/>
          <w:color w:val="FF0000"/>
          <w:sz w:val="24"/>
        </w:rPr>
      </w:pP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3B9CC58E"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C4DD614"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this address</w:t>
      </w:r>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F83351">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3505" w14:textId="77777777" w:rsidR="00F83351" w:rsidRDefault="00F83351" w:rsidP="00F13324">
      <w:pPr>
        <w:spacing w:before="0" w:after="0"/>
      </w:pPr>
      <w:r>
        <w:separator/>
      </w:r>
    </w:p>
  </w:endnote>
  <w:endnote w:type="continuationSeparator" w:id="0">
    <w:p w14:paraId="0B300B59" w14:textId="77777777" w:rsidR="00F83351" w:rsidRDefault="00F83351"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C252" w14:textId="77777777" w:rsidR="00F83351" w:rsidRDefault="00F83351" w:rsidP="00F13324">
      <w:pPr>
        <w:spacing w:before="0" w:after="0"/>
      </w:pPr>
      <w:r>
        <w:separator/>
      </w:r>
    </w:p>
  </w:footnote>
  <w:footnote w:type="continuationSeparator" w:id="0">
    <w:p w14:paraId="711CE889" w14:textId="77777777" w:rsidR="00F83351" w:rsidRDefault="00F83351"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1429"/>
    <w:multiLevelType w:val="hybridMultilevel"/>
    <w:tmpl w:val="8B8C0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60E48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0"/>
  </w:num>
  <w:num w:numId="2" w16cid:durableId="715396602">
    <w:abstractNumId w:val="7"/>
  </w:num>
  <w:num w:numId="3" w16cid:durableId="376777316">
    <w:abstractNumId w:val="3"/>
  </w:num>
  <w:num w:numId="4" w16cid:durableId="1658418493">
    <w:abstractNumId w:val="9"/>
  </w:num>
  <w:num w:numId="5" w16cid:durableId="865481241">
    <w:abstractNumId w:val="6"/>
  </w:num>
  <w:num w:numId="6" w16cid:durableId="767428200">
    <w:abstractNumId w:val="1"/>
  </w:num>
  <w:num w:numId="7" w16cid:durableId="685908319">
    <w:abstractNumId w:val="8"/>
  </w:num>
  <w:num w:numId="8" w16cid:durableId="1395931048">
    <w:abstractNumId w:val="5"/>
  </w:num>
  <w:num w:numId="9" w16cid:durableId="857163861">
    <w:abstractNumId w:val="2"/>
  </w:num>
  <w:num w:numId="10" w16cid:durableId="1488126466">
    <w:abstractNumId w:val="0"/>
  </w:num>
  <w:num w:numId="11" w16cid:durableId="1916280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D56"/>
    <w:rsid w:val="000F7B38"/>
    <w:rsid w:val="000F7E3F"/>
    <w:rsid w:val="001061CA"/>
    <w:rsid w:val="00112FF3"/>
    <w:rsid w:val="00113D2D"/>
    <w:rsid w:val="001222BD"/>
    <w:rsid w:val="00123108"/>
    <w:rsid w:val="00123474"/>
    <w:rsid w:val="00133ABC"/>
    <w:rsid w:val="001340C0"/>
    <w:rsid w:val="00140D86"/>
    <w:rsid w:val="0015189F"/>
    <w:rsid w:val="00153F31"/>
    <w:rsid w:val="0015535D"/>
    <w:rsid w:val="00160571"/>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927"/>
    <w:rsid w:val="008121C3"/>
    <w:rsid w:val="00812D25"/>
    <w:rsid w:val="0081478C"/>
    <w:rsid w:val="00816324"/>
    <w:rsid w:val="00820082"/>
    <w:rsid w:val="0082306C"/>
    <w:rsid w:val="00825AF7"/>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DEE"/>
    <w:rsid w:val="008C6070"/>
    <w:rsid w:val="008C6C2B"/>
    <w:rsid w:val="008D5EF8"/>
    <w:rsid w:val="008F3231"/>
    <w:rsid w:val="008F7C68"/>
    <w:rsid w:val="00907D00"/>
    <w:rsid w:val="00921C3C"/>
    <w:rsid w:val="00923200"/>
    <w:rsid w:val="00925506"/>
    <w:rsid w:val="00926440"/>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6074"/>
    <w:rsid w:val="00BB75FE"/>
    <w:rsid w:val="00BB78AC"/>
    <w:rsid w:val="00BC62C9"/>
    <w:rsid w:val="00BD1BCF"/>
    <w:rsid w:val="00BD638A"/>
    <w:rsid w:val="00BD678D"/>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7C27"/>
    <w:rsid w:val="00DF7F70"/>
    <w:rsid w:val="00E07D11"/>
    <w:rsid w:val="00E10025"/>
    <w:rsid w:val="00E16556"/>
    <w:rsid w:val="00E17241"/>
    <w:rsid w:val="00E25447"/>
    <w:rsid w:val="00E2691C"/>
    <w:rsid w:val="00E30446"/>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7531"/>
    <w:rsid w:val="00F47E1A"/>
    <w:rsid w:val="00F52150"/>
    <w:rsid w:val="00F55408"/>
    <w:rsid w:val="00F6089B"/>
    <w:rsid w:val="00F66A0F"/>
    <w:rsid w:val="00F704F9"/>
    <w:rsid w:val="00F7605A"/>
    <w:rsid w:val="00F81C7D"/>
    <w:rsid w:val="00F83351"/>
    <w:rsid w:val="00F9220F"/>
    <w:rsid w:val="00F94C48"/>
    <w:rsid w:val="00FA1619"/>
    <w:rsid w:val="00FB1FDD"/>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3.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CF4A9-F579-4EEF-9E45-D7334E8D9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22</Pages>
  <Words>2459</Words>
  <Characters>14234</Characters>
  <Application>Microsoft Office Word</Application>
  <DocSecurity>0</DocSecurity>
  <Lines>402</Lines>
  <Paragraphs>165</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44</cp:revision>
  <dcterms:created xsi:type="dcterms:W3CDTF">2024-02-20T12:25:00Z</dcterms:created>
  <dcterms:modified xsi:type="dcterms:W3CDTF">2024-03-01T23:22:00Z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