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C0B65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1. Input: large ligand library</w:t>
      </w:r>
    </w:p>
    <w:p w14:paraId="3D3DF22A" w14:textId="77777777" w:rsidR="000F1928" w:rsidRPr="000F1928" w:rsidRDefault="000F1928" w:rsidP="000F1928">
      <w:pPr>
        <w:rPr>
          <w:lang w:val="en-GB"/>
        </w:rPr>
      </w:pPr>
    </w:p>
    <w:p w14:paraId="0C80123F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2. Chemical standardization and deduplication</w:t>
      </w:r>
    </w:p>
    <w:p w14:paraId="2848BE53" w14:textId="77777777" w:rsidR="000F1928" w:rsidRPr="000F1928" w:rsidRDefault="000F1928" w:rsidP="000F1928">
      <w:pPr>
        <w:rPr>
          <w:lang w:val="en-GB"/>
        </w:rPr>
      </w:pPr>
    </w:p>
    <w:p w14:paraId="09BA3BEA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3. Structural filtering</w:t>
      </w:r>
    </w:p>
    <w:p w14:paraId="4899379B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PAINS</w:t>
      </w:r>
    </w:p>
    <w:p w14:paraId="38F7069B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 xml:space="preserve">- </w:t>
      </w:r>
      <w:proofErr w:type="spellStart"/>
      <w:r w:rsidRPr="000F1928">
        <w:rPr>
          <w:lang w:val="en-GB"/>
        </w:rPr>
        <w:t>Brenk</w:t>
      </w:r>
      <w:proofErr w:type="spellEnd"/>
    </w:p>
    <w:p w14:paraId="77C54537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reactive / problematic motifs</w:t>
      </w:r>
    </w:p>
    <w:p w14:paraId="65FD582C" w14:textId="77777777" w:rsidR="000F1928" w:rsidRPr="000F1928" w:rsidRDefault="000F1928" w:rsidP="000F1928">
      <w:pPr>
        <w:rPr>
          <w:lang w:val="en-GB"/>
        </w:rPr>
      </w:pPr>
    </w:p>
    <w:p w14:paraId="432C804D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4. Flexible physicochemical filtering</w:t>
      </w:r>
    </w:p>
    <w:p w14:paraId="1D42EE87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RO5</w:t>
      </w:r>
    </w:p>
    <w:p w14:paraId="2BC581BE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Ghose</w:t>
      </w:r>
    </w:p>
    <w:p w14:paraId="530F218D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 xml:space="preserve">- </w:t>
      </w:r>
      <w:proofErr w:type="spellStart"/>
      <w:r w:rsidRPr="000F1928">
        <w:rPr>
          <w:lang w:val="en-GB"/>
        </w:rPr>
        <w:t>Veber</w:t>
      </w:r>
      <w:proofErr w:type="spellEnd"/>
    </w:p>
    <w:p w14:paraId="0686FBA9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Egan</w:t>
      </w:r>
    </w:p>
    <w:p w14:paraId="03714948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 xml:space="preserve">- </w:t>
      </w:r>
      <w:proofErr w:type="spellStart"/>
      <w:r w:rsidRPr="000F1928">
        <w:rPr>
          <w:lang w:val="en-GB"/>
        </w:rPr>
        <w:t>Muegge</w:t>
      </w:r>
      <w:proofErr w:type="spellEnd"/>
    </w:p>
    <w:p w14:paraId="2C14FC31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soft filtering, not aggressive filtering</w:t>
      </w:r>
    </w:p>
    <w:p w14:paraId="3C1B9DA5" w14:textId="77777777" w:rsidR="000F1928" w:rsidRPr="000F1928" w:rsidRDefault="000F1928" w:rsidP="000F1928">
      <w:pPr>
        <w:rPr>
          <w:lang w:val="en-GB"/>
        </w:rPr>
      </w:pPr>
    </w:p>
    <w:p w14:paraId="0A7BA57A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5. Optional light pre-docking ADMET safety filter</w:t>
      </w:r>
    </w:p>
    <w:p w14:paraId="4487E754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only extreme universal risks</w:t>
      </w:r>
    </w:p>
    <w:p w14:paraId="2CC24939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avoid context-dependent over-filtering</w:t>
      </w:r>
    </w:p>
    <w:p w14:paraId="347FE307" w14:textId="77777777" w:rsidR="000F1928" w:rsidRPr="000F1928" w:rsidRDefault="000F1928" w:rsidP="000F1928">
      <w:pPr>
        <w:rPr>
          <w:lang w:val="en-GB"/>
        </w:rPr>
      </w:pPr>
    </w:p>
    <w:p w14:paraId="29355CC9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6. Optional diversity-based reduction before docking</w:t>
      </w:r>
    </w:p>
    <w:p w14:paraId="7F354B4E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reduce library if still too large</w:t>
      </w:r>
    </w:p>
    <w:p w14:paraId="3A96E9B2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preserve chemical diversity</w:t>
      </w:r>
    </w:p>
    <w:p w14:paraId="4A901CF7" w14:textId="77777777" w:rsidR="000F1928" w:rsidRPr="000F1928" w:rsidRDefault="000F1928" w:rsidP="000F1928">
      <w:pPr>
        <w:rPr>
          <w:lang w:val="en-GB"/>
        </w:rPr>
      </w:pPr>
    </w:p>
    <w:p w14:paraId="15B41EA1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7. Massive GNINA docking</w:t>
      </w:r>
    </w:p>
    <w:p w14:paraId="3A07B35F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docking score</w:t>
      </w:r>
    </w:p>
    <w:p w14:paraId="547915C8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CNN pose score</w:t>
      </w:r>
    </w:p>
    <w:p w14:paraId="4445846E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CNN affinity</w:t>
      </w:r>
    </w:p>
    <w:p w14:paraId="39F64395" w14:textId="77777777" w:rsidR="000F1928" w:rsidRPr="000F1928" w:rsidRDefault="000F1928" w:rsidP="000F1928">
      <w:pPr>
        <w:rPr>
          <w:lang w:val="en-GB"/>
        </w:rPr>
      </w:pPr>
    </w:p>
    <w:p w14:paraId="378B79E1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8. Initial GNINA-based prioritization</w:t>
      </w:r>
    </w:p>
    <w:p w14:paraId="7CCF82E7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lastRenderedPageBreak/>
        <w:t>- select top N candidates</w:t>
      </w:r>
    </w:p>
    <w:p w14:paraId="3FDDD3C6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use docking score + CNN pose score + CNN affinity</w:t>
      </w:r>
    </w:p>
    <w:p w14:paraId="3C123683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avoid relying on docking score alone</w:t>
      </w:r>
    </w:p>
    <w:p w14:paraId="21C2026E" w14:textId="77777777" w:rsidR="000F1928" w:rsidRPr="000F1928" w:rsidRDefault="000F1928" w:rsidP="000F1928">
      <w:pPr>
        <w:rPr>
          <w:lang w:val="en-GB"/>
        </w:rPr>
      </w:pPr>
    </w:p>
    <w:p w14:paraId="2AE3EA56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9. Boltz-2 rescoring / refinement</w:t>
      </w:r>
    </w:p>
    <w:p w14:paraId="04A1BDD0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run Boltz-2 only on top N GNINA candidates</w:t>
      </w:r>
    </w:p>
    <w:p w14:paraId="4BFB7C80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use it as a higher-quality second-stage model</w:t>
      </w:r>
    </w:p>
    <w:p w14:paraId="09E40D39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 xml:space="preserve">- </w:t>
      </w:r>
      <w:proofErr w:type="spellStart"/>
      <w:r w:rsidRPr="000F1928">
        <w:rPr>
          <w:lang w:val="en-GB"/>
        </w:rPr>
        <w:t>rerank</w:t>
      </w:r>
      <w:proofErr w:type="spellEnd"/>
      <w:r w:rsidRPr="000F1928">
        <w:rPr>
          <w:lang w:val="en-GB"/>
        </w:rPr>
        <w:t xml:space="preserve"> candidates using Boltz-2 affinity/confidence outputs</w:t>
      </w:r>
    </w:p>
    <w:p w14:paraId="0CDC0B91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keep molecules that remain strong after both GNINA and Boltz-2</w:t>
      </w:r>
    </w:p>
    <w:p w14:paraId="70B47491" w14:textId="77777777" w:rsidR="000F1928" w:rsidRPr="000F1928" w:rsidRDefault="000F1928" w:rsidP="000F1928">
      <w:pPr>
        <w:rPr>
          <w:lang w:val="en-GB"/>
        </w:rPr>
      </w:pPr>
    </w:p>
    <w:p w14:paraId="55E8D609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10. ADMET-AI profiling on Boltz-2-prioritized candidates</w:t>
      </w:r>
    </w:p>
    <w:p w14:paraId="6067FEBE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full ADMET analysis</w:t>
      </w:r>
    </w:p>
    <w:p w14:paraId="10A4B94F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AMES</w:t>
      </w:r>
    </w:p>
    <w:p w14:paraId="1A65CFF6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DILI</w:t>
      </w:r>
    </w:p>
    <w:p w14:paraId="4EE7D60D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 xml:space="preserve">- </w:t>
      </w:r>
      <w:proofErr w:type="spellStart"/>
      <w:r w:rsidRPr="000F1928">
        <w:rPr>
          <w:lang w:val="en-GB"/>
        </w:rPr>
        <w:t>hERG</w:t>
      </w:r>
      <w:proofErr w:type="spellEnd"/>
    </w:p>
    <w:p w14:paraId="2F0B87B7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 xml:space="preserve">- </w:t>
      </w:r>
      <w:proofErr w:type="spellStart"/>
      <w:r w:rsidRPr="000F1928">
        <w:rPr>
          <w:lang w:val="en-GB"/>
        </w:rPr>
        <w:t>ClinTox</w:t>
      </w:r>
      <w:proofErr w:type="spellEnd"/>
    </w:p>
    <w:p w14:paraId="68624CE6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carcinogenicity-type endpoints if available</w:t>
      </w:r>
    </w:p>
    <w:p w14:paraId="1E2CF018" w14:textId="77777777" w:rsidR="000F1928" w:rsidRPr="000F1928" w:rsidRDefault="000F1928" w:rsidP="000F1928">
      <w:pPr>
        <w:rPr>
          <w:lang w:val="en-GB"/>
        </w:rPr>
      </w:pPr>
    </w:p>
    <w:p w14:paraId="3D0388B5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11. Context-dependent ADMET interpretation</w:t>
      </w:r>
    </w:p>
    <w:p w14:paraId="4BA0663D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BBB important for CNS projects</w:t>
      </w:r>
    </w:p>
    <w:p w14:paraId="637F0DDF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BBB not necessarily desirable for non-CNS projects</w:t>
      </w:r>
    </w:p>
    <w:p w14:paraId="1C440A71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CYP risks depend on therapeutic context</w:t>
      </w:r>
    </w:p>
    <w:p w14:paraId="79515023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clearance / half-life / bioavailability interpreted by use case</w:t>
      </w:r>
    </w:p>
    <w:p w14:paraId="3F7C4CAB" w14:textId="77777777" w:rsidR="000F1928" w:rsidRPr="000F1928" w:rsidRDefault="000F1928" w:rsidP="000F1928">
      <w:pPr>
        <w:rPr>
          <w:lang w:val="en-GB"/>
        </w:rPr>
      </w:pPr>
    </w:p>
    <w:p w14:paraId="1E962300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 xml:space="preserve">12. </w:t>
      </w:r>
      <w:proofErr w:type="gramStart"/>
      <w:r w:rsidRPr="000F1928">
        <w:rPr>
          <w:lang w:val="en-GB"/>
        </w:rPr>
        <w:t>Post-rescoring</w:t>
      </w:r>
      <w:proofErr w:type="gramEnd"/>
      <w:r w:rsidRPr="000F1928">
        <w:rPr>
          <w:lang w:val="en-GB"/>
        </w:rPr>
        <w:t xml:space="preserve"> chemical diversity selection</w:t>
      </w:r>
    </w:p>
    <w:p w14:paraId="00C9798A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avoid selecting near-duplicate molecules</w:t>
      </w:r>
    </w:p>
    <w:p w14:paraId="4C4861FF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preserve diverse scaffolds among high-confidence candidates</w:t>
      </w:r>
    </w:p>
    <w:p w14:paraId="0FE45CB1" w14:textId="77777777" w:rsidR="000F1928" w:rsidRPr="000F1928" w:rsidRDefault="000F1928" w:rsidP="000F1928">
      <w:pPr>
        <w:rPr>
          <w:lang w:val="en-GB"/>
        </w:rPr>
      </w:pPr>
    </w:p>
    <w:p w14:paraId="46C4A434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13. Final prioritized hit list</w:t>
      </w:r>
    </w:p>
    <w:p w14:paraId="00DC37AF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good GNINA docking</w:t>
      </w:r>
    </w:p>
    <w:p w14:paraId="1B50F16B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good Boltz-2 rescoring</w:t>
      </w:r>
    </w:p>
    <w:p w14:paraId="0B4A5C3C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acceptable safety</w:t>
      </w:r>
    </w:p>
    <w:p w14:paraId="3EC117EA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context-relevant ADMET</w:t>
      </w:r>
    </w:p>
    <w:p w14:paraId="10BF515A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chemical diversity</w:t>
      </w:r>
    </w:p>
    <w:p w14:paraId="16A0A3B1" w14:textId="77777777" w:rsidR="000F1928" w:rsidRPr="000F1928" w:rsidRDefault="000F1928" w:rsidP="000F1928">
      <w:pPr>
        <w:rPr>
          <w:lang w:val="en-GB"/>
        </w:rPr>
      </w:pPr>
    </w:p>
    <w:p w14:paraId="2BB48768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14. In-depth final candidate analysis</w:t>
      </w:r>
    </w:p>
    <w:p w14:paraId="47BB6CE9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pose inspection</w:t>
      </w:r>
    </w:p>
    <w:p w14:paraId="7C4DEF19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interaction analysis</w:t>
      </w:r>
    </w:p>
    <w:p w14:paraId="54DA84B9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structural alerts review</w:t>
      </w:r>
    </w:p>
    <w:p w14:paraId="5E2283BF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ADMET report</w:t>
      </w:r>
    </w:p>
    <w:p w14:paraId="6D252EB8" w14:textId="77777777" w:rsidR="000F1928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physicochemical report</w:t>
      </w:r>
    </w:p>
    <w:p w14:paraId="1DB0EA12" w14:textId="467E3E1B" w:rsidR="00607686" w:rsidRPr="000F1928" w:rsidRDefault="000F1928" w:rsidP="000F1928">
      <w:pPr>
        <w:rPr>
          <w:lang w:val="en-GB"/>
        </w:rPr>
      </w:pPr>
      <w:r w:rsidRPr="000F1928">
        <w:rPr>
          <w:lang w:val="en-GB"/>
        </w:rPr>
        <w:t>- later medicinal chemistry review</w:t>
      </w:r>
    </w:p>
    <w:sectPr w:rsidR="00607686" w:rsidRPr="000F19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928"/>
    <w:rsid w:val="000F1928"/>
    <w:rsid w:val="00607686"/>
    <w:rsid w:val="00C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AC346"/>
  <w15:chartTrackingRefBased/>
  <w15:docId w15:val="{E6B98607-B9BF-463E-A27B-D4D7BFE1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24047</TotalTime>
  <Pages>3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Cissé Mohamed</dc:creator>
  <cp:keywords/>
  <dc:description/>
  <cp:lastModifiedBy>Cissé Mohamed</cp:lastModifiedBy>
  <cp:revision>1</cp:revision>
  <dcterms:created xsi:type="dcterms:W3CDTF">2026-05-09T17:18:00Z</dcterms:created>
  <dcterms:modified xsi:type="dcterms:W3CDTF">2026-05-26T10:24:00Z</dcterms:modified>
</cp:coreProperties>
</file>