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3F9A" w14:textId="3F35D6E4" w:rsidR="00CD650A" w:rsidRPr="008825F0" w:rsidRDefault="00CD650A" w:rsidP="00CD650A">
      <w:pPr>
        <w:pStyle w:val="Titre1"/>
        <w:pageBreakBefore/>
        <w:numPr>
          <w:ilvl w:val="0"/>
          <w:numId w:val="2"/>
        </w:numPr>
        <w:pBdr>
          <w:top w:val="single" w:sz="18" w:space="1" w:color="BF4E14" w:themeColor="accent2" w:themeShade="BF"/>
          <w:left w:val="single" w:sz="18" w:space="4" w:color="BF4E14" w:themeColor="accent2" w:themeShade="BF"/>
          <w:bottom w:val="single" w:sz="18" w:space="1" w:color="BF4E14" w:themeColor="accent2" w:themeShade="BF"/>
          <w:right w:val="single" w:sz="18" w:space="4" w:color="BF4E14" w:themeColor="accent2" w:themeShade="BF"/>
        </w:pBdr>
        <w:spacing w:before="240" w:after="0"/>
        <w:ind w:hanging="720"/>
        <w:rPr>
          <w:rFonts w:ascii="Trebuchet MS" w:hAnsi="Trebuchet MS"/>
          <w:sz w:val="44"/>
          <w:szCs w:val="44"/>
        </w:rPr>
      </w:pPr>
      <w:r>
        <w:rPr>
          <w:rFonts w:ascii="Trebuchet MS" w:hAnsi="Trebuchet MS"/>
          <w:sz w:val="44"/>
          <w:szCs w:val="44"/>
        </w:rPr>
        <w:t>Mission OPC</w:t>
      </w:r>
    </w:p>
    <w:p w14:paraId="0DF9B952" w14:textId="77777777" w:rsidR="00CD650A" w:rsidRPr="00E17D0B" w:rsidRDefault="00CD650A" w:rsidP="00CD650A">
      <w:pPr>
        <w:rPr>
          <w:rFonts w:ascii="Trebuchet MS" w:eastAsiaTheme="majorEastAsia" w:hAnsi="Trebuchet MS" w:cstheme="majorBidi"/>
          <w:sz w:val="20"/>
          <w:szCs w:val="20"/>
        </w:rPr>
      </w:pPr>
    </w:p>
    <w:p w14:paraId="6B29B487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La mission complémentaire OPC, sera réalisée de la façon suivante :</w:t>
      </w:r>
    </w:p>
    <w:p w14:paraId="39FFA09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 xml:space="preserve">Période préparation de chantier : </w:t>
      </w:r>
    </w:p>
    <w:p w14:paraId="1EC0C34F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Collecte des plannings et durées de tâches (</w:t>
      </w:r>
      <w:proofErr w:type="spellStart"/>
      <w:r w:rsidRPr="00E17D0B">
        <w:rPr>
          <w:rFonts w:ascii="Trebuchet MS" w:hAnsi="Trebuchet MS"/>
          <w:bCs/>
          <w:sz w:val="20"/>
          <w:szCs w:val="20"/>
        </w:rPr>
        <w:t>Etudes</w:t>
      </w:r>
      <w:proofErr w:type="spellEnd"/>
      <w:r w:rsidRPr="00E17D0B">
        <w:rPr>
          <w:rFonts w:ascii="Trebuchet MS" w:hAnsi="Trebuchet MS"/>
          <w:bCs/>
          <w:sz w:val="20"/>
          <w:szCs w:val="20"/>
        </w:rPr>
        <w:t xml:space="preserve"> et travaux) des différents intervenants</w:t>
      </w:r>
    </w:p>
    <w:p w14:paraId="64116A3D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Collecte des besoins techniques et emprises pour les installations de chantier</w:t>
      </w:r>
    </w:p>
    <w:p w14:paraId="0B259D60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proofErr w:type="spellStart"/>
      <w:r w:rsidRPr="00E17D0B">
        <w:rPr>
          <w:rFonts w:ascii="Trebuchet MS" w:hAnsi="Trebuchet MS"/>
          <w:bCs/>
          <w:sz w:val="20"/>
          <w:szCs w:val="20"/>
        </w:rPr>
        <w:t>Etablissement</w:t>
      </w:r>
      <w:proofErr w:type="spellEnd"/>
      <w:r w:rsidRPr="00E17D0B">
        <w:rPr>
          <w:rFonts w:ascii="Trebuchet MS" w:hAnsi="Trebuchet MS"/>
          <w:bCs/>
          <w:sz w:val="20"/>
          <w:szCs w:val="20"/>
        </w:rPr>
        <w:t xml:space="preserve"> d’un planning général de chantier tenant compte éléments communiqués pas les entreprises</w:t>
      </w:r>
    </w:p>
    <w:p w14:paraId="3D131EFA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 xml:space="preserve">Le planning comprenant les jalons (OS, période de préparation, </w:t>
      </w:r>
      <w:proofErr w:type="spellStart"/>
      <w:r w:rsidRPr="00E17D0B">
        <w:rPr>
          <w:rFonts w:ascii="Trebuchet MS" w:hAnsi="Trebuchet MS"/>
          <w:bCs/>
          <w:sz w:val="20"/>
          <w:szCs w:val="20"/>
        </w:rPr>
        <w:t>opr</w:t>
      </w:r>
      <w:proofErr w:type="spellEnd"/>
      <w:r w:rsidRPr="00E17D0B">
        <w:rPr>
          <w:rFonts w:ascii="Trebuchet MS" w:hAnsi="Trebuchet MS"/>
          <w:bCs/>
          <w:sz w:val="20"/>
          <w:szCs w:val="20"/>
        </w:rPr>
        <w:t>, livraison etc..) est visé par : OPC, MOA, Entreprises</w:t>
      </w:r>
    </w:p>
    <w:p w14:paraId="21983204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Période travaux et AOR</w:t>
      </w:r>
    </w:p>
    <w:p w14:paraId="66C38B15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Vérification du respect du PIC et de l’organisation générale du chantier</w:t>
      </w:r>
    </w:p>
    <w:p w14:paraId="76BB9757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Pointage hebdomadaire du planning travaux avec consignation des avancements dans un tableau de synthèse</w:t>
      </w:r>
    </w:p>
    <w:p w14:paraId="15A9E855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proofErr w:type="spellStart"/>
      <w:r w:rsidRPr="00E17D0B">
        <w:rPr>
          <w:rFonts w:ascii="Trebuchet MS" w:hAnsi="Trebuchet MS"/>
          <w:bCs/>
          <w:sz w:val="20"/>
          <w:szCs w:val="20"/>
        </w:rPr>
        <w:t>Etablissement</w:t>
      </w:r>
      <w:proofErr w:type="spellEnd"/>
      <w:r w:rsidRPr="00E17D0B">
        <w:rPr>
          <w:rFonts w:ascii="Trebuchet MS" w:hAnsi="Trebuchet MS"/>
          <w:bCs/>
          <w:sz w:val="20"/>
          <w:szCs w:val="20"/>
        </w:rPr>
        <w:t xml:space="preserve"> des points de vigilance et proposition de mesures en cas de non-respect des délais d’exécution</w:t>
      </w:r>
    </w:p>
    <w:p w14:paraId="3242C4CB" w14:textId="77777777" w:rsidR="00E17D0B" w:rsidRPr="00E17D0B" w:rsidRDefault="00E17D0B" w:rsidP="00E17D0B">
      <w:pPr>
        <w:numPr>
          <w:ilvl w:val="1"/>
          <w:numId w:val="7"/>
        </w:num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Planification des AOR et suivi de l’avancement des réserves</w:t>
      </w:r>
    </w:p>
    <w:p w14:paraId="46847743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62E0252C" w14:textId="77777777" w:rsidR="00E17D0B" w:rsidRPr="00E17D0B" w:rsidRDefault="00E17D0B" w:rsidP="00E17D0B">
      <w:pPr>
        <w:pBdr>
          <w:bottom w:val="single" w:sz="4" w:space="1" w:color="auto"/>
        </w:pBdr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 w:rsidRPr="00E17D0B">
        <w:rPr>
          <w:rFonts w:ascii="Trebuchet MS" w:hAnsi="Trebuchet MS" w:cs="Arial"/>
          <w:b/>
          <w:sz w:val="20"/>
          <w:szCs w:val="20"/>
        </w:rPr>
        <w:t xml:space="preserve">Ordonnancement </w:t>
      </w:r>
    </w:p>
    <w:p w14:paraId="4BFEEF09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0E25153F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/>
          <w:i/>
          <w:iCs/>
          <w:sz w:val="20"/>
          <w:szCs w:val="20"/>
        </w:rPr>
        <w:t>Élaboration des calendriers tous corps d’état</w:t>
      </w:r>
      <w:r w:rsidRPr="00E17D0B">
        <w:rPr>
          <w:rFonts w:ascii="Trebuchet MS" w:hAnsi="Trebuchet MS"/>
          <w:bCs/>
          <w:sz w:val="20"/>
          <w:szCs w:val="20"/>
        </w:rPr>
        <w:t xml:space="preserve"> </w:t>
      </w:r>
    </w:p>
    <w:p w14:paraId="3FACD7B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décomposition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ouvrages en tâches élémentaires</w:t>
      </w:r>
    </w:p>
    <w:p w14:paraId="64DC92C5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recherche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contraintes</w:t>
      </w:r>
    </w:p>
    <w:p w14:paraId="7CF7831A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matérialisation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graphique des durées de chaque tâche et des contraintes</w:t>
      </w:r>
    </w:p>
    <w:p w14:paraId="3E6D801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chiffrage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tâches et des contraintes : durée et effectif nécessaires pour chaque tâche, durée des contraintes</w:t>
      </w:r>
    </w:p>
    <w:p w14:paraId="09D7F81B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ordonnancement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permettant d’obtenir pour chaque tâche, la date de début au plus tôt et la marge libre</w:t>
      </w:r>
    </w:p>
    <w:p w14:paraId="3D55E00D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remise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à jour des calendriers pour régulariser les charges de main d’œuvre</w:t>
      </w:r>
    </w:p>
    <w:p w14:paraId="22812E10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production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documents d’exploitation sous forme de calendrier permettant de visualiser au regard d’une échelle calendaire les tâches, les marges libres et les contraintes</w:t>
      </w:r>
    </w:p>
    <w:p w14:paraId="50D0DF66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78171FBF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 xml:space="preserve">Cette phase se traduit par la mise en place du circuit d’élaboration des plans d’exécution et l’élaboration de planning projet tous corps d’état établi sur le logiciel </w:t>
      </w:r>
      <w:proofErr w:type="spellStart"/>
      <w:r w:rsidRPr="00E17D0B">
        <w:rPr>
          <w:rFonts w:ascii="Trebuchet MS" w:hAnsi="Trebuchet MS"/>
          <w:bCs/>
          <w:sz w:val="20"/>
          <w:szCs w:val="20"/>
        </w:rPr>
        <w:t>FastTrack</w:t>
      </w:r>
      <w:proofErr w:type="spellEnd"/>
      <w:r w:rsidRPr="00E17D0B">
        <w:rPr>
          <w:rFonts w:ascii="Trebuchet MS" w:hAnsi="Trebuchet MS"/>
          <w:bCs/>
          <w:sz w:val="20"/>
          <w:szCs w:val="20"/>
        </w:rPr>
        <w:t xml:space="preserve"> Schedule qui fait apparaître :</w:t>
      </w:r>
    </w:p>
    <w:p w14:paraId="2A29DE7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les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délais globaux d’intervention des principaux corps d’état</w:t>
      </w:r>
    </w:p>
    <w:p w14:paraId="234873A4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les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contraintes et les marges libres principales</w:t>
      </w:r>
    </w:p>
    <w:p w14:paraId="2D893073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les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dates de livraison partielle ou totale de l’ouvrage</w:t>
      </w:r>
    </w:p>
    <w:p w14:paraId="03146567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4082C7AE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Ce planning permet d’apprécier en cours de chantier toutes les incidences d’un retard enregistré sur l’exécution d’une tâche donnée et de recaler les tâches.</w:t>
      </w:r>
    </w:p>
    <w:p w14:paraId="74333EF1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6D02A77F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proofErr w:type="spellStart"/>
      <w:r w:rsidRPr="00E17D0B">
        <w:rPr>
          <w:rFonts w:ascii="Trebuchet MS" w:hAnsi="Trebuchet MS"/>
          <w:b/>
          <w:i/>
          <w:iCs/>
          <w:sz w:val="20"/>
          <w:szCs w:val="20"/>
        </w:rPr>
        <w:t>Etablissement</w:t>
      </w:r>
      <w:proofErr w:type="spellEnd"/>
      <w:r w:rsidRPr="00E17D0B">
        <w:rPr>
          <w:rFonts w:ascii="Trebuchet MS" w:hAnsi="Trebuchet MS"/>
          <w:b/>
          <w:i/>
          <w:iCs/>
          <w:sz w:val="20"/>
          <w:szCs w:val="20"/>
        </w:rPr>
        <w:t xml:space="preserve"> des demandes d’acomptes mensuelles des entreprises, révision et vérification </w:t>
      </w:r>
    </w:p>
    <w:p w14:paraId="19E0AE65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valorisation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tâches des planigrammes</w:t>
      </w:r>
    </w:p>
    <w:p w14:paraId="5B8F2AE3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pointage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mensuel sur chantier, en présence des entreprises, de l’avancement réel des tâches</w:t>
      </w:r>
    </w:p>
    <w:p w14:paraId="1E6D2A46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vérification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dans la semaine suivant la fin du mois des demandes d’acompte mensuelles par traitement sur ordinateur</w:t>
      </w:r>
    </w:p>
    <w:p w14:paraId="5CFB70CE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35238393" w14:textId="77777777" w:rsidR="00E17D0B" w:rsidRPr="00E17D0B" w:rsidRDefault="00E17D0B" w:rsidP="00E17D0B">
      <w:pPr>
        <w:pBdr>
          <w:bottom w:val="single" w:sz="4" w:space="1" w:color="auto"/>
        </w:pBdr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r w:rsidRPr="00E17D0B">
        <w:rPr>
          <w:rFonts w:ascii="Trebuchet MS" w:hAnsi="Trebuchet MS" w:cs="Arial"/>
          <w:b/>
          <w:sz w:val="20"/>
          <w:szCs w:val="20"/>
        </w:rPr>
        <w:t>Pilotage</w:t>
      </w:r>
    </w:p>
    <w:p w14:paraId="2E7B781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pointage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hebdomadaire de l’avancement réel du chantier</w:t>
      </w:r>
    </w:p>
    <w:p w14:paraId="51BAF474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comparaison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avec l’avancement prévu sur le calendrier prévisionnel</w:t>
      </w:r>
    </w:p>
    <w:p w14:paraId="0C40E7C7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établissement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avances et retards des entreprises</w:t>
      </w:r>
    </w:p>
    <w:p w14:paraId="3108646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recherche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mesures propres à résorber ces retards</w:t>
      </w:r>
    </w:p>
    <w:p w14:paraId="2A00BC94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participation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aux réunion hebdomadaires et rédaction du procès-verbal</w:t>
      </w:r>
    </w:p>
    <w:p w14:paraId="794F4896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lastRenderedPageBreak/>
        <w:t>actualisation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planigrammes initiaux</w:t>
      </w:r>
    </w:p>
    <w:p w14:paraId="71A0A5FD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surveillance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du maintien de l’ordre et de la sécurité sur le chantier</w:t>
      </w:r>
    </w:p>
    <w:p w14:paraId="3B0CD2B9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liaison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avec le coordonnateur de sécurité</w:t>
      </w:r>
    </w:p>
    <w:p w14:paraId="75FCC7C3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pointage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moyens mis en œuvre par les entreprises (effectifs, matériels) et leur comparaison avec les moyens requis pour le respect du planigramme</w:t>
      </w:r>
    </w:p>
    <w:p w14:paraId="7D888BC2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proposition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d’application, en cas de retard, des mesures coercitives contractuelles</w:t>
      </w:r>
    </w:p>
    <w:p w14:paraId="7A667E58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tenue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d’un journal de chantier où sont notés les jours d’intempéries, ainsi que les circonstances particulières susceptibles d’entraver le déroulement normal des travaux</w:t>
      </w:r>
    </w:p>
    <w:p w14:paraId="4909F353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organisation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travaux de finition, ainsi que des visites de pré-réceptions au cours desquelles sont établies et diffusées les listes de réserves à lever pour la réception.</w:t>
      </w:r>
    </w:p>
    <w:p w14:paraId="1DC88CA6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</w:p>
    <w:p w14:paraId="31C87973" w14:textId="77777777" w:rsidR="00E17D0B" w:rsidRPr="00E17D0B" w:rsidRDefault="00E17D0B" w:rsidP="00E17D0B">
      <w:pPr>
        <w:pBdr>
          <w:bottom w:val="single" w:sz="4" w:space="1" w:color="auto"/>
        </w:pBdr>
        <w:spacing w:line="276" w:lineRule="auto"/>
        <w:jc w:val="both"/>
        <w:rPr>
          <w:rFonts w:ascii="Trebuchet MS" w:hAnsi="Trebuchet MS" w:cs="Arial"/>
          <w:b/>
          <w:sz w:val="20"/>
          <w:szCs w:val="20"/>
        </w:rPr>
      </w:pPr>
      <w:proofErr w:type="gramStart"/>
      <w:r w:rsidRPr="00E17D0B">
        <w:rPr>
          <w:rFonts w:ascii="Trebuchet MS" w:hAnsi="Trebuchet MS" w:cs="Arial"/>
          <w:b/>
          <w:sz w:val="20"/>
          <w:szCs w:val="20"/>
        </w:rPr>
        <w:t>coordination</w:t>
      </w:r>
      <w:proofErr w:type="gramEnd"/>
    </w:p>
    <w:p w14:paraId="72E7ECA4" w14:textId="77777777" w:rsidR="00E17D0B" w:rsidRPr="00E17D0B" w:rsidRDefault="00E17D0B" w:rsidP="00E17D0B">
      <w:pPr>
        <w:tabs>
          <w:tab w:val="num" w:pos="1982"/>
        </w:tabs>
        <w:ind w:right="-1"/>
        <w:jc w:val="both"/>
        <w:rPr>
          <w:rFonts w:ascii="Trebuchet MS" w:hAnsi="Trebuchet MS"/>
          <w:bCs/>
          <w:sz w:val="20"/>
          <w:szCs w:val="20"/>
        </w:rPr>
      </w:pPr>
      <w:r w:rsidRPr="00E17D0B">
        <w:rPr>
          <w:rFonts w:ascii="Trebuchet MS" w:hAnsi="Trebuchet MS"/>
          <w:bCs/>
          <w:sz w:val="20"/>
          <w:szCs w:val="20"/>
        </w:rPr>
        <w:t>La coordination porte sur :</w:t>
      </w:r>
    </w:p>
    <w:p w14:paraId="466E54CD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coordonner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l’activité des entreprises sur le chantier en vue d’assurer l’avancement régulier des travaux dans le cadre du planigramme arrêté</w:t>
      </w:r>
    </w:p>
    <w:p w14:paraId="11B814AB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assurer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la coordination entre bâtiment et VRD</w:t>
      </w:r>
    </w:p>
    <w:p w14:paraId="5DFD8F94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exercer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>, pour toutes inspections périodiques inopinées nécessaires, la direction générale de l’œuvre en vue de s’assurer du bon déroulement des travaux, conformément aux pièces du marché</w:t>
      </w:r>
    </w:p>
    <w:p w14:paraId="637A0817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apporter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en cours de réalisation toutes propositions de solutions dans le cas où des événements imprévisibles nécessitent certaines novations ou précisions</w:t>
      </w:r>
    </w:p>
    <w:p w14:paraId="5B9546B3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assister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le maître d’ouvrage lors de la réception de travaux et rédiger le procès-verbal correspondant</w:t>
      </w:r>
    </w:p>
    <w:p w14:paraId="08C633E5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veiller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à ce que les travaux de mise en état prescrite lors de la réception soient effectués convenablement dans les délais voulus</w:t>
      </w:r>
    </w:p>
    <w:p w14:paraId="36C19D20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organisation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et direction des réunions hebdomadaires de coordination interentreprises, planification des tâches à accomplir, établissement et diffusion des procès-verbaux de réunion</w:t>
      </w:r>
    </w:p>
    <w:p w14:paraId="3CB5B2A9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organisation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tous les mois d’une réunion interentreprises, consacrée au compte-prorata (la gestion de ce compte incombant toujours aux entreprises)</w:t>
      </w:r>
    </w:p>
    <w:p w14:paraId="2193D5AA" w14:textId="77777777" w:rsidR="00E17D0B" w:rsidRPr="00E17D0B" w:rsidRDefault="00E17D0B" w:rsidP="00E17D0B">
      <w:pPr>
        <w:numPr>
          <w:ilvl w:val="0"/>
          <w:numId w:val="7"/>
        </w:numPr>
        <w:tabs>
          <w:tab w:val="clear" w:pos="1130"/>
          <w:tab w:val="num" w:pos="709"/>
          <w:tab w:val="num" w:pos="1982"/>
        </w:tabs>
        <w:ind w:left="709" w:right="-1" w:hanging="425"/>
        <w:jc w:val="both"/>
        <w:rPr>
          <w:rFonts w:ascii="Trebuchet MS" w:hAnsi="Trebuchet MS"/>
          <w:bCs/>
          <w:sz w:val="20"/>
          <w:szCs w:val="20"/>
        </w:rPr>
      </w:pPr>
      <w:proofErr w:type="gramStart"/>
      <w:r w:rsidRPr="00E17D0B">
        <w:rPr>
          <w:rFonts w:ascii="Trebuchet MS" w:hAnsi="Trebuchet MS"/>
          <w:bCs/>
          <w:sz w:val="20"/>
          <w:szCs w:val="20"/>
        </w:rPr>
        <w:t>coordination</w:t>
      </w:r>
      <w:proofErr w:type="gramEnd"/>
      <w:r w:rsidRPr="00E17D0B">
        <w:rPr>
          <w:rFonts w:ascii="Trebuchet MS" w:hAnsi="Trebuchet MS"/>
          <w:bCs/>
          <w:sz w:val="20"/>
          <w:szCs w:val="20"/>
        </w:rPr>
        <w:t xml:space="preserve"> des entreprises intervenant dans le cadre de l’année de parfait achèvement</w:t>
      </w:r>
    </w:p>
    <w:p w14:paraId="23F3B548" w14:textId="77777777" w:rsidR="00CD650A" w:rsidRPr="00CD650A" w:rsidRDefault="00CD650A" w:rsidP="00CD650A"/>
    <w:sectPr w:rsidR="00CD650A" w:rsidRPr="00CD650A" w:rsidSect="002F4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7CF3"/>
    <w:multiLevelType w:val="hybridMultilevel"/>
    <w:tmpl w:val="13841820"/>
    <w:lvl w:ilvl="0" w:tplc="ED36AF56">
      <w:start w:val="2"/>
      <w:numFmt w:val="bullet"/>
      <w:lvlText w:val="-"/>
      <w:lvlJc w:val="left"/>
      <w:pPr>
        <w:ind w:left="720" w:hanging="360"/>
      </w:pPr>
      <w:rPr>
        <w:rFonts w:ascii="Avenir Book" w:eastAsia="Avenir" w:hAnsi="Avenir Book" w:cs="Avenir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B5C6E"/>
    <w:multiLevelType w:val="hybridMultilevel"/>
    <w:tmpl w:val="AD841BFC"/>
    <w:lvl w:ilvl="0" w:tplc="E2C084A0">
      <w:start w:val="1"/>
      <w:numFmt w:val="bullet"/>
      <w:pStyle w:val="Puce1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003040C">
      <w:numFmt w:val="bullet"/>
      <w:lvlText w:val=""/>
      <w:lvlJc w:val="left"/>
      <w:pPr>
        <w:tabs>
          <w:tab w:val="num" w:pos="371"/>
        </w:tabs>
        <w:ind w:left="1363" w:hanging="283"/>
      </w:pPr>
      <w:rPr>
        <w:rFonts w:ascii="Symbol" w:hAnsi="Symbol" w:hint="default"/>
      </w:rPr>
    </w:lvl>
    <w:lvl w:ilvl="2" w:tplc="00050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85E63"/>
    <w:multiLevelType w:val="hybridMultilevel"/>
    <w:tmpl w:val="A8C05E40"/>
    <w:lvl w:ilvl="0" w:tplc="F86CE864">
      <w:start w:val="1"/>
      <w:numFmt w:val="bullet"/>
      <w:lvlText w:val=""/>
      <w:lvlJc w:val="left"/>
      <w:pPr>
        <w:tabs>
          <w:tab w:val="num" w:pos="1130"/>
        </w:tabs>
        <w:ind w:left="1130" w:hanging="705"/>
      </w:pPr>
      <w:rPr>
        <w:rFonts w:ascii="Symbol" w:hAnsi="Symbol" w:hint="default"/>
        <w:color w:val="auto"/>
      </w:rPr>
    </w:lvl>
    <w:lvl w:ilvl="1" w:tplc="040C000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CCB70C2"/>
    <w:multiLevelType w:val="hybridMultilevel"/>
    <w:tmpl w:val="61E615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C368C"/>
    <w:multiLevelType w:val="hybridMultilevel"/>
    <w:tmpl w:val="EB0E01A4"/>
    <w:lvl w:ilvl="0" w:tplc="BD1A12DC">
      <w:start w:val="1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04EE5"/>
    <w:multiLevelType w:val="hybridMultilevel"/>
    <w:tmpl w:val="F1EEBF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164470">
      <w:start w:val="878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97933"/>
    <w:multiLevelType w:val="multilevel"/>
    <w:tmpl w:val="4D6CA52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61D86AAD"/>
    <w:multiLevelType w:val="multilevel"/>
    <w:tmpl w:val="4D6CA52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BBC482F"/>
    <w:multiLevelType w:val="hybridMultilevel"/>
    <w:tmpl w:val="EF366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520B7"/>
    <w:multiLevelType w:val="hybridMultilevel"/>
    <w:tmpl w:val="4F4434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36B28"/>
    <w:multiLevelType w:val="hybridMultilevel"/>
    <w:tmpl w:val="AD2AC1D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359308">
    <w:abstractNumId w:val="9"/>
  </w:num>
  <w:num w:numId="2" w16cid:durableId="785932470">
    <w:abstractNumId w:val="8"/>
  </w:num>
  <w:num w:numId="3" w16cid:durableId="919169943">
    <w:abstractNumId w:val="4"/>
  </w:num>
  <w:num w:numId="4" w16cid:durableId="1659917623">
    <w:abstractNumId w:val="0"/>
  </w:num>
  <w:num w:numId="5" w16cid:durableId="427427060">
    <w:abstractNumId w:val="5"/>
  </w:num>
  <w:num w:numId="6" w16cid:durableId="1528181602">
    <w:abstractNumId w:val="1"/>
  </w:num>
  <w:num w:numId="7" w16cid:durableId="2047414283">
    <w:abstractNumId w:val="2"/>
  </w:num>
  <w:num w:numId="8" w16cid:durableId="501821979">
    <w:abstractNumId w:val="10"/>
  </w:num>
  <w:num w:numId="9" w16cid:durableId="151995184">
    <w:abstractNumId w:val="3"/>
  </w:num>
  <w:num w:numId="10" w16cid:durableId="850409890">
    <w:abstractNumId w:val="7"/>
  </w:num>
  <w:num w:numId="11" w16cid:durableId="1802765848">
    <w:abstractNumId w:val="6"/>
  </w:num>
  <w:num w:numId="12" w16cid:durableId="107088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CC"/>
    <w:rsid w:val="00097EDA"/>
    <w:rsid w:val="000B24CC"/>
    <w:rsid w:val="00143E7E"/>
    <w:rsid w:val="002F420C"/>
    <w:rsid w:val="00946262"/>
    <w:rsid w:val="00A16022"/>
    <w:rsid w:val="00B35EFF"/>
    <w:rsid w:val="00C14189"/>
    <w:rsid w:val="00CB57DC"/>
    <w:rsid w:val="00CD650A"/>
    <w:rsid w:val="00D632F7"/>
    <w:rsid w:val="00E1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48715"/>
  <w15:chartTrackingRefBased/>
  <w15:docId w15:val="{2A65FDE1-DEB0-254E-A364-6A84E1AA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4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4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4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4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24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24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24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24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24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24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24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4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24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24CC"/>
    <w:rPr>
      <w:i/>
      <w:iCs/>
      <w:color w:val="404040" w:themeColor="text1" w:themeTint="BF"/>
    </w:rPr>
  </w:style>
  <w:style w:type="paragraph" w:styleId="Paragraphedeliste">
    <w:name w:val="List Paragraph"/>
    <w:aliases w:val="texte de base,Puce focus,Normal bullet 2,List Paragraph1,Bullet list,APL - Liste numerotee Fiche,PUCE QIG,Contact,calia titre 3,texte tableau,armelle Car,Ondertekst Avida,bullet 1,List Paragraph,Liste 1,Titre 1 Car1,normal,Listes"/>
    <w:basedOn w:val="Normal"/>
    <w:link w:val="ParagraphedelisteCar"/>
    <w:uiPriority w:val="34"/>
    <w:qFormat/>
    <w:rsid w:val="000B24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24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4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24CC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link w:val="ListepucesCar"/>
    <w:autoRedefine/>
    <w:rsid w:val="002F420C"/>
    <w:pPr>
      <w:tabs>
        <w:tab w:val="right" w:pos="284"/>
        <w:tab w:val="right" w:pos="7938"/>
      </w:tabs>
      <w:spacing w:line="220" w:lineRule="exact"/>
      <w:ind w:left="360" w:hanging="360"/>
      <w:jc w:val="both"/>
    </w:pPr>
    <w:rPr>
      <w:rFonts w:ascii="Avenir Book" w:eastAsia="Avenir" w:hAnsi="Avenir Book" w:cs="Avenir"/>
      <w:bCs/>
      <w:color w:val="0070C0"/>
      <w:kern w:val="0"/>
      <w:sz w:val="18"/>
      <w:szCs w:val="18"/>
      <w:lang w:eastAsia="fr-FR"/>
      <w14:ligatures w14:val="none"/>
    </w:rPr>
  </w:style>
  <w:style w:type="character" w:customStyle="1" w:styleId="ListepucesCar">
    <w:name w:val="Liste à puces Car"/>
    <w:link w:val="Listepuces"/>
    <w:rsid w:val="002F420C"/>
    <w:rPr>
      <w:rFonts w:ascii="Avenir Book" w:eastAsia="Avenir" w:hAnsi="Avenir Book" w:cs="Avenir"/>
      <w:bCs/>
      <w:color w:val="0070C0"/>
      <w:kern w:val="0"/>
      <w:sz w:val="18"/>
      <w:szCs w:val="18"/>
      <w:lang w:eastAsia="fr-FR"/>
      <w14:ligatures w14:val="none"/>
    </w:rPr>
  </w:style>
  <w:style w:type="paragraph" w:styleId="Corpsdetexte">
    <w:name w:val="Body Text"/>
    <w:basedOn w:val="Normal"/>
    <w:link w:val="CorpsdetexteCar"/>
    <w:rsid w:val="00CD650A"/>
    <w:pPr>
      <w:spacing w:before="160"/>
      <w:jc w:val="both"/>
    </w:pPr>
    <w:rPr>
      <w:rFonts w:ascii="Times New Roman" w:eastAsia="Times New Roman" w:hAnsi="Times New Roman" w:cs="Times New Roman"/>
      <w:kern w:val="0"/>
      <w:szCs w:val="20"/>
      <w:lang w:eastAsia="fr-FR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CD650A"/>
    <w:rPr>
      <w:rFonts w:ascii="Times New Roman" w:eastAsia="Times New Roman" w:hAnsi="Times New Roman" w:cs="Times New Roman"/>
      <w:kern w:val="0"/>
      <w:szCs w:val="20"/>
      <w:lang w:eastAsia="fr-FR"/>
      <w14:ligatures w14:val="none"/>
    </w:rPr>
  </w:style>
  <w:style w:type="character" w:customStyle="1" w:styleId="ParagraphedelisteCar">
    <w:name w:val="Paragraphe de liste Car"/>
    <w:aliases w:val="texte de base Car,Puce focus Car,Normal bullet 2 Car,List Paragraph1 Car,Bullet list Car,APL - Liste numerotee Fiche Car,PUCE QIG Car,Contact Car,calia titre 3 Car,texte tableau Car,armelle Car Car,Ondertekst Avida Car,normal Car"/>
    <w:link w:val="Paragraphedeliste"/>
    <w:uiPriority w:val="34"/>
    <w:qFormat/>
    <w:locked/>
    <w:rsid w:val="00CD650A"/>
  </w:style>
  <w:style w:type="paragraph" w:customStyle="1" w:styleId="Puce1">
    <w:name w:val="Puce 1"/>
    <w:basedOn w:val="Normal"/>
    <w:link w:val="Puce1Car1"/>
    <w:qFormat/>
    <w:rsid w:val="00CD650A"/>
    <w:pPr>
      <w:numPr>
        <w:numId w:val="6"/>
      </w:numPr>
      <w:spacing w:before="40" w:after="40" w:line="240" w:lineRule="atLeast"/>
      <w:contextualSpacing/>
      <w:jc w:val="both"/>
    </w:pPr>
    <w:rPr>
      <w:rFonts w:eastAsia="Times New Roman" w:cs="Arial"/>
      <w:kern w:val="0"/>
      <w:szCs w:val="20"/>
      <w:lang w:eastAsia="fr-FR"/>
      <w14:ligatures w14:val="none"/>
    </w:rPr>
  </w:style>
  <w:style w:type="character" w:customStyle="1" w:styleId="Puce1Car1">
    <w:name w:val="Puce 1 Car1"/>
    <w:basedOn w:val="Policepardfaut"/>
    <w:link w:val="Puce1"/>
    <w:rsid w:val="00CD650A"/>
    <w:rPr>
      <w:rFonts w:eastAsia="Times New Roman" w:cs="Arial"/>
      <w:kern w:val="0"/>
      <w:szCs w:val="2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17D0B"/>
    <w:rPr>
      <w:b/>
      <w:bCs/>
    </w:rPr>
  </w:style>
  <w:style w:type="character" w:customStyle="1" w:styleId="TextesCar">
    <w:name w:val="Textes Car"/>
    <w:link w:val="Textes"/>
    <w:locked/>
    <w:rsid w:val="00CB57DC"/>
    <w:rPr>
      <w:rFonts w:ascii="Arial" w:eastAsia="Lucida Sans Unicode" w:hAnsi="Arial" w:cs="Arial"/>
    </w:rPr>
  </w:style>
  <w:style w:type="paragraph" w:customStyle="1" w:styleId="Textes">
    <w:name w:val="Textes"/>
    <w:basedOn w:val="Normal"/>
    <w:link w:val="TextesCar"/>
    <w:qFormat/>
    <w:rsid w:val="00CB57DC"/>
    <w:pPr>
      <w:widowControl w:val="0"/>
      <w:tabs>
        <w:tab w:val="left" w:pos="567"/>
        <w:tab w:val="left" w:pos="5102"/>
      </w:tabs>
      <w:suppressAutoHyphens/>
      <w:spacing w:after="120" w:line="252" w:lineRule="auto"/>
      <w:jc w:val="both"/>
    </w:pPr>
    <w:rPr>
      <w:rFonts w:ascii="Arial" w:eastAsia="Lucida Sans Unicode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IPC IPC</dc:creator>
  <cp:keywords/>
  <dc:description/>
  <cp:lastModifiedBy>IPC IPC</cp:lastModifiedBy>
  <cp:revision>2</cp:revision>
  <dcterms:created xsi:type="dcterms:W3CDTF">2025-03-21T16:02:00Z</dcterms:created>
  <dcterms:modified xsi:type="dcterms:W3CDTF">2025-03-21T16:02:00Z</dcterms:modified>
</cp:coreProperties>
</file>