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عقد تأسيس شركة ذات مسؤولية محدودة (نسخة نهائية مدمجة)</w:t>
      </w:r>
    </w:p>
    <w:p>
      <w:r>
        <w:t>اسم الشركة: مجموعة السماك للاستشارات القانونية والمحاسبية وتحليل البيانات</w:t>
      </w:r>
    </w:p>
    <w:p>
      <w:r>
        <w:t>رأس المال: 10,000 جنيه مصري</w:t>
        <w:br/>
      </w:r>
    </w:p>
    <w:p>
      <w:pPr>
        <w:pStyle w:val="Heading1"/>
      </w:pPr>
      <w:r>
        <w:t>المادة (1) – اسم الشركة</w:t>
      </w:r>
    </w:p>
    <w:p>
      <w:r>
        <w:t>مجموعة السماك للاستشارات القانونية والمحاسبية وتحليل البيانات (ذ.م.م)</w:t>
      </w:r>
    </w:p>
    <w:p>
      <w:pPr>
        <w:pStyle w:val="Heading1"/>
      </w:pPr>
      <w:r>
        <w:t>المادة (2) – الغرض</w:t>
      </w:r>
    </w:p>
    <w:p>
      <w:r>
        <w:t>الاستشارات القانونية والمحاسبية وتحليل البيانات وكافة الأنشطة المرتبطة.</w:t>
      </w:r>
    </w:p>
    <w:p>
      <w:pPr>
        <w:pStyle w:val="Heading1"/>
      </w:pPr>
      <w:r>
        <w:t>المادة (3) – المقر</w:t>
      </w:r>
    </w:p>
    <w:p>
      <w:r>
        <w:t>داخل جمهورية مصر العربية ويجوز إنشاء فروع.</w:t>
      </w:r>
    </w:p>
    <w:p>
      <w:pPr>
        <w:pStyle w:val="Heading1"/>
      </w:pPr>
      <w:r>
        <w:t>المادة (4) – المدة</w:t>
      </w:r>
    </w:p>
    <w:p>
      <w:r>
        <w:t>25 سنة قابلة للتجديد.</w:t>
      </w:r>
    </w:p>
    <w:p>
      <w:pPr>
        <w:pStyle w:val="Heading1"/>
      </w:pPr>
      <w:r>
        <w:t>المادة (5) – الحصص</w:t>
      </w:r>
    </w:p>
    <w:p>
      <w:r>
        <w:t>80% وليد محمد أحمد</w:t>
        <w:br/>
        <w:t>10% نهى حنفي محمود عامر</w:t>
        <w:br/>
        <w:t>10% موزعة بالتساوي على باقي المؤسسين</w:t>
      </w:r>
    </w:p>
    <w:p>
      <w:pPr>
        <w:pStyle w:val="Heading1"/>
      </w:pPr>
      <w:r>
        <w:t>المادة (6) – الإدارة والتوقيع</w:t>
      </w:r>
    </w:p>
    <w:p>
      <w:r>
        <w:t>رئيس مجلس الإدارة: وليد محمد أحمد – توقيع أول منفرد.</w:t>
        <w:br/>
        <w:t>نائب الرئيس: نهى حنفي محمود عامر – توقيع أول عند غياب الرئيس.</w:t>
        <w:br/>
        <w:t>المدير الإداري والممثل القانوني: محمد أحمد محمد أحمد – تمثيل قانوني كامل.</w:t>
        <w:br/>
        <w:t>المدير التنفيذي وأمين الصندوق: وائل محمد أحمد – توقيع ثاني.</w:t>
        <w:br/>
        <w:br/>
        <w:t>تعتمد الشركة على:</w:t>
        <w:br/>
        <w:t>- توقيع أول منفرد</w:t>
        <w:br/>
        <w:t>- أو توقيع (أول + ثاني)</w:t>
        <w:br/>
        <w:t>- وفي غياب الرئيس يوقع نائب الرئيس كتوقيع أول</w:t>
      </w:r>
    </w:p>
    <w:p>
      <w:pPr>
        <w:pStyle w:val="Heading1"/>
      </w:pPr>
      <w:r>
        <w:t>المادة (7) – الشركاء بالمجهود</w:t>
      </w:r>
    </w:p>
    <w:p>
      <w:r>
        <w:t>10% لكل من محمد أحمد محمد أحمد ووائل محمد أحمد من الأرباح فقط بعد الميزانية</w:t>
      </w:r>
    </w:p>
    <w:p>
      <w:pPr>
        <w:pStyle w:val="Heading1"/>
      </w:pPr>
      <w:r>
        <w:t>المادة (8) – الأرباح</w:t>
      </w:r>
    </w:p>
    <w:p>
      <w:r>
        <w:t>توزع سنوياً بعد اعتماد الميزانية.</w:t>
      </w:r>
    </w:p>
    <w:p>
      <w:pPr>
        <w:pStyle w:val="Heading1"/>
      </w:pPr>
      <w:r>
        <w:t>المادة (9) – التنازل</w:t>
      </w:r>
    </w:p>
    <w:p>
      <w:r>
        <w:t>لا يجوز البيع أو التنازل إلا بموافقة المؤسسين.</w:t>
      </w:r>
    </w:p>
    <w:p>
      <w:pPr>
        <w:pStyle w:val="Heading1"/>
      </w:pPr>
      <w:r>
        <w:t>المادة (10) – عدم المنافسة</w:t>
      </w:r>
    </w:p>
    <w:p>
      <w:r>
        <w:t>يحظر العمل في نشاط منافس.</w:t>
      </w:r>
    </w:p>
    <w:p>
      <w:pPr>
        <w:pStyle w:val="Heading1"/>
      </w:pPr>
      <w:r>
        <w:t>المادة (11) – القرارات</w:t>
      </w:r>
    </w:p>
    <w:p>
      <w:r>
        <w:t>تصدر بالأغلبية.</w:t>
      </w:r>
    </w:p>
    <w:p>
      <w:pPr>
        <w:pStyle w:val="Heading1"/>
      </w:pPr>
      <w:r>
        <w:t>المادة (12) – المنازعات</w:t>
      </w:r>
    </w:p>
    <w:p>
      <w:r>
        <w:t>القضاء المصري أو التحكيم.</w:t>
      </w:r>
    </w:p>
    <w:p>
      <w:pPr>
        <w:pStyle w:val="Heading1"/>
      </w:pPr>
      <w:r>
        <w:t>المادة (13) – أحكام عامة</w:t>
      </w:r>
    </w:p>
    <w:p>
      <w:r>
        <w:t>يطبق قانون الشركات المصري.</w:t>
      </w:r>
    </w:p>
    <w:p>
      <w:r>
        <w:br/>
        <w:t>التوقيعات:</w:t>
        <w:br/>
        <w:br/>
        <w:t>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