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40" w:lineRule="auto"/>
        <w:jc w:val="center"/>
        <w:bidi w:val="0"/>
      </w:pPr>
      <w:r>
        <w:rPr>
          <w:rFonts w:ascii="Times New Roman" w:hAnsi="Times New Roman"/>
          <w:b/>
          <w:i w:val="0"/>
          <w:sz w:val="32"/>
          <w:rtl w:val="0"/>
          <w:lang w:val="en-US" w:eastAsia="en-US" w:bidi="en-US"/>
        </w:rPr>
        <w:t>SyncField: Design and Evaluation of an Offline-First Mobile Data Collection and Synchronization System for Low-Connectivity Environments</w:t>
      </w:r>
    </w:p>
    <w:p>
      <w:pPr>
        <w:spacing w:after="40" w:before="0" w:line="240" w:lineRule="auto"/>
        <w:jc w:val="center"/>
        <w:bidi w:val="0"/>
      </w:pPr>
      <w:r>
        <w:rPr>
          <w:rFonts w:ascii="Times New Roman" w:hAnsi="Times New Roman"/>
          <w:b/>
          <w:i w:val="0"/>
          <w:sz w:val="22"/>
          <w:rtl w:val="0"/>
          <w:lang w:val="en-US" w:eastAsia="en-US" w:bidi="en-US"/>
        </w:rPr>
        <w:t>Mohamed Tariq Abdel Farraj · Mohammed Sharif Ibrahim · Ghaidaa Al-Sir · Dua al-Mahdi</w:t>
      </w:r>
    </w:p>
    <w:p>
      <w:pPr>
        <w:spacing w:after="20" w:before="0" w:line="240" w:lineRule="auto"/>
        <w:jc w:val="center"/>
        <w:bidi w:val="0"/>
      </w:pPr>
      <w:r>
        <w:rPr>
          <w:rFonts w:ascii="Times New Roman" w:hAnsi="Times New Roman"/>
          <w:b w:val="0"/>
          <w:i/>
          <w:sz w:val="20"/>
          <w:rtl w:val="0"/>
          <w:lang w:val="en-US" w:eastAsia="en-US" w:bidi="en-US"/>
        </w:rPr>
        <w:t>Information Technology Department, College of Customs Sciences, Medical and Technology</w:t>
      </w:r>
    </w:p>
    <w:p>
      <w:pPr>
        <w:spacing w:after="0" w:before="0" w:line="240" w:lineRule="auto"/>
        <w:jc w:val="center"/>
        <w:bidi w:val="0"/>
      </w:pPr>
      <w:r>
        <w:rPr>
          <w:rFonts w:ascii="Times New Roman" w:hAnsi="Times New Roman"/>
          <w:b/>
          <w:i w:val="0"/>
          <w:sz w:val="20"/>
          <w:rtl w:val="0"/>
          <w:lang w:val="en-US" w:eastAsia="en-US" w:bidi="en-US"/>
        </w:rPr>
        <w:t>Supervisor: Yahya Othman, MSc · yhyosman77@gmail.com</w:t>
      </w:r>
    </w:p>
    <w:p>
      <w:pPr>
        <w:spacing w:after="160" w:before="0" w:line="240" w:lineRule="auto"/>
        <w:jc w:val="center"/>
        <w:bidi w:val="0"/>
      </w:pPr>
      <w:r>
        <w:rPr>
          <w:rFonts w:ascii="Times New Roman" w:hAnsi="Times New Roman"/>
          <w:b w:val="0"/>
          <w:i/>
          <w:sz w:val="19"/>
          <w:rtl w:val="0"/>
          <w:lang w:val="en-US" w:eastAsia="en-US" w:bidi="en-US"/>
        </w:rPr>
        <w:t>Corresponding author: targm87@gmail.com</w:t>
      </w:r>
    </w:p>
    <w:p>
      <w:pPr>
        <w:pStyle w:val="Heading1"/>
        <w:keepNext/>
        <w:spacing w:before="160" w:after="60"/>
        <w:jc w:val="left"/>
        <w:bidi w:val="0"/>
      </w:pPr>
      <w:r>
        <w:rPr>
          <w:rFonts w:ascii="Times New Roman" w:hAnsi="Times New Roman"/>
          <w:b/>
          <w:sz w:val="24"/>
          <w:rtl w:val="0"/>
          <w:lang w:val="en-US" w:eastAsia="en-US" w:bidi="en-US"/>
        </w:rPr>
        <w:t>Abstract</w:t>
      </w:r>
    </w:p>
    <w:p>
      <w:pPr>
        <w:spacing w:after="80" w:line="252" w:lineRule="auto"/>
        <w:jc w:val="both"/>
        <w:bidi w:val="0"/>
      </w:pPr>
      <w:r>
        <w:rPr>
          <w:rFonts w:ascii="Times New Roman" w:hAnsi="Times New Roman"/>
          <w:b w:val="0"/>
          <w:i w:val="0"/>
          <w:sz w:val="21"/>
          <w:rtl w:val="0"/>
          <w:lang w:val="en-US" w:eastAsia="en-US" w:bidi="en-US"/>
        </w:rPr>
        <w:t>Field data collection is frequently disrupted in environments where Internet connectivity is weak, intermittent, or unavailable. This paper presents SyncField, an offline-first mobile data collection and synchronization system designed to preserve fieldwork locally while maintaining controlled synchronization with a central database. The system was implemented as a Flutter/Dart Android application with SQLite local persistence, secure session storage, a Node.js/Express.js REST backend, and PostgreSQL central storage. The design combines predefined personal and dynamic forms, rule-based validation, visible pending responses, role- and form-based authorization, supervisor scope, user-initiated synchronization, stable client identifiers for idempotency, a durable mutation queue for update, soft-delete, and restore operations, and optimistic versioning with explicit conflict resolution. An engineering design-and-evaluation approach was used, with iterative development guided by Scrum principles and a requirement-traceable test matrix. The final documented evaluation contained 92 functional and integration test cases covering server configuration, authentication and sessions, authorization and scope, offline persistence, synchronization, duplicate prevention, record lifecycle, conflict handling, reporting, localization, security, and privacy. All 92 cases achieved their expected outcomes within the verified Android 13 debug build and trusted local network test environment. The results support the feasibility of the implemented offline-first workflow, while conclusions are limited by Android-focused testing, manual rather than background synchronization, local network backend deployment, and the absence of broad performance, concurrency, disaster-recovery, and long-duration validation.</w:t>
      </w:r>
    </w:p>
    <w:p>
      <w:pPr>
        <w:spacing w:after="80" w:line="252" w:lineRule="auto"/>
        <w:jc w:val="both"/>
        <w:bidi w:val="0"/>
      </w:pPr>
      <w:r>
        <w:rPr>
          <w:rFonts w:ascii="Times New Roman" w:hAnsi="Times New Roman"/>
          <w:b/>
          <w:sz w:val="21"/>
          <w:rtl w:val="0"/>
          <w:lang w:val="en-US" w:eastAsia="en-US" w:bidi="en-US"/>
        </w:rPr>
        <w:t>Keywords—</w:t>
      </w:r>
      <w:r>
        <w:rPr>
          <w:rFonts w:ascii="Times New Roman" w:hAnsi="Times New Roman"/>
          <w:sz w:val="21"/>
          <w:rtl w:val="0"/>
          <w:lang w:val="en-US" w:eastAsia="en-US" w:bidi="en-US"/>
        </w:rPr>
        <w:t>Offline-first; mobile data collection; Flutter; SQLite; synchronization; idempotency; PostgreSQL; access control.</w:t>
      </w:r>
    </w:p>
    <w:p>
      <w:pPr>
        <w:pStyle w:val="Heading1"/>
        <w:keepNext/>
        <w:spacing w:before="160" w:after="60"/>
        <w:jc w:val="left"/>
        <w:bidi w:val="0"/>
      </w:pPr>
      <w:r>
        <w:rPr>
          <w:rFonts w:ascii="Times New Roman" w:hAnsi="Times New Roman"/>
          <w:b/>
          <w:sz w:val="24"/>
          <w:rtl w:val="0"/>
          <w:lang w:val="en-US" w:eastAsia="en-US" w:bidi="en-US"/>
        </w:rPr>
        <w:t>1. Introduction</w:t>
      </w:r>
    </w:p>
    <w:p>
      <w:pPr>
        <w:spacing w:after="80" w:line="252" w:lineRule="auto"/>
        <w:ind w:firstLine="283"/>
        <w:jc w:val="both"/>
        <w:bidi w:val="0"/>
      </w:pPr>
      <w:r>
        <w:rPr>
          <w:rFonts w:ascii="Times New Roman" w:hAnsi="Times New Roman"/>
          <w:sz w:val="21"/>
          <w:rtl w:val="0"/>
          <w:lang w:val="en-US" w:eastAsia="en-US" w:bidi="en-US"/>
        </w:rPr>
        <w:t>Organizations that collect structured information in the field often operate where continuous network access cannot be guaranteed. Paper-based collection and network-dependent applications can interrupt field work, delay data availability, require later re-entry, and increase the risk of duplication or transcription error (Elmasri &amp; Navathe, 2016; Coulouris et al., 2012). Offline-first architecture addresses this problem by treating local persistence as the operational path and network transfer as a controlled secondary process rather than a prerequisite for data entry (Kleppmann, 2017; Android Developers, 2024).</w:t>
      </w:r>
    </w:p>
    <w:p>
      <w:pPr>
        <w:spacing w:after="80" w:line="252" w:lineRule="auto"/>
        <w:ind w:firstLine="283"/>
        <w:jc w:val="both"/>
        <w:bidi w:val="0"/>
      </w:pPr>
      <w:r>
        <w:rPr>
          <w:rFonts w:ascii="Times New Roman" w:hAnsi="Times New Roman"/>
          <w:b w:val="0"/>
          <w:i w:val="0"/>
          <w:sz w:val="21"/>
          <w:rtl w:val="0"/>
          <w:lang w:val="en-US" w:eastAsia="en-US" w:bidi="en-US"/>
        </w:rPr>
        <w:t>However, offline data capture alone is insufficient for an organizational field system. A practical solution must preserve unsynchronized records, validate input, prevent duplicate server-side effects during retries, enforce role and scope boundaries, retain failed operations, support the lifecycle of already synchronized records, and resolve concurrent updates without silently overwriting authoritative data. These concerns motivate SyncField, a mobile system developed to integrate offline collection with controlled governance and central synchronization.</w:t>
      </w:r>
    </w:p>
    <w:p>
      <w:pPr>
        <w:spacing w:after="80" w:line="252" w:lineRule="auto"/>
        <w:ind w:firstLine="283"/>
        <w:jc w:val="both"/>
        <w:bidi w:val="0"/>
      </w:pPr>
      <w:r>
        <w:rPr>
          <w:rFonts w:ascii="Times New Roman" w:hAnsi="Times New Roman"/>
          <w:b w:val="0"/>
          <w:i w:val="0"/>
          <w:sz w:val="21"/>
          <w:rtl w:val="0"/>
          <w:lang w:val="en-US" w:eastAsia="en-US" w:bidi="en-US"/>
        </w:rPr>
        <w:t>Accordingly, this study addresses the following research question: can an offline-first mobile architecture support reliable structured field data collection under intermittent connectivity while also providing traceable synchronization, organizational authorization, and safe record lifecycle management?</w:t>
      </w:r>
    </w:p>
    <w:p>
      <w:pPr>
        <w:spacing w:after="80" w:line="252" w:lineRule="auto"/>
        <w:jc w:val="both"/>
        <w:bidi w:val="0"/>
      </w:pPr>
      <w:r>
        <w:rPr>
          <w:rFonts w:ascii="Times New Roman" w:hAnsi="Times New Roman"/>
          <w:sz w:val="21"/>
          <w:rtl w:val="0"/>
          <w:lang w:val="en-US" w:eastAsia="en-US" w:bidi="en-US"/>
        </w:rPr>
        <w:t>The main contributions of this work are:</w:t>
      </w:r>
    </w:p>
    <w:p>
      <w:pPr>
        <w:pStyle w:val="ListBullet"/>
        <w:spacing w:after="40" w:line="247" w:lineRule="auto"/>
        <w:jc w:val="left"/>
        <w:bidi w:val="0"/>
      </w:pPr>
      <w:r>
        <w:rPr>
          <w:rFonts w:ascii="Times New Roman" w:hAnsi="Times New Roman"/>
          <w:sz w:val="20"/>
          <w:rtl w:val="0"/>
          <w:lang w:val="en-US" w:eastAsia="en-US" w:bidi="en-US"/>
        </w:rPr>
        <w:t>A layered Flutter/SQLite mobile architecture that keeps valid field responses locally available and exposes unsynchronized work through Pending Responses.</w:t>
      </w:r>
    </w:p>
    <w:p>
      <w:pPr>
        <w:pStyle w:val="ListBullet"/>
        <w:spacing w:after="40" w:line="247" w:lineRule="auto"/>
        <w:jc w:val="left"/>
        <w:bidi w:val="0"/>
      </w:pPr>
      <w:r>
        <w:rPr>
          <w:rFonts w:ascii="Times New Roman" w:hAnsi="Times New Roman"/>
          <w:sz w:val="20"/>
          <w:rtl w:val="0"/>
          <w:lang w:val="en-US" w:eastAsia="en-US" w:bidi="en-US"/>
        </w:rPr>
        <w:t>A user-initiated synchronization workflow with stable client identifiers and idempotent processing to reduce duplicate effects on the central database during retries.</w:t>
      </w:r>
    </w:p>
    <w:p>
      <w:pPr>
        <w:pStyle w:val="ListBullet"/>
        <w:spacing w:after="40" w:line="247" w:lineRule="auto"/>
        <w:jc w:val="left"/>
        <w:bidi w:val="0"/>
      </w:pPr>
      <w:r>
        <w:rPr>
          <w:rFonts w:ascii="Times New Roman" w:hAnsi="Times New Roman"/>
          <w:sz w:val="20"/>
          <w:rtl w:val="0"/>
          <w:lang w:val="en-US" w:eastAsia="en-US" w:bidi="en-US"/>
        </w:rPr>
        <w:t>A durable mutation queue for updates to synchronized records, soft deletion, restoration, retry, and optimistic versioning with explicit conflict resolution.</w:t>
      </w:r>
    </w:p>
    <w:p>
      <w:pPr>
        <w:pStyle w:val="ListBullet"/>
        <w:spacing w:after="40" w:line="247" w:lineRule="auto"/>
        <w:jc w:val="left"/>
        <w:bidi w:val="0"/>
      </w:pPr>
      <w:r>
        <w:rPr>
          <w:rFonts w:ascii="Times New Roman" w:hAnsi="Times New Roman"/>
          <w:sz w:val="20"/>
          <w:rtl w:val="0"/>
          <w:lang w:val="en-US" w:eastAsia="en-US" w:bidi="en-US"/>
        </w:rPr>
        <w:t>An authorization model that combines System Administrator, Supervisor, and Data Collector roles with form permissions, record ownership, supervisor assignments, and backend enforcement.</w:t>
      </w:r>
    </w:p>
    <w:p>
      <w:pPr>
        <w:pStyle w:val="ListBullet"/>
        <w:spacing w:after="40" w:line="247" w:lineRule="auto"/>
        <w:jc w:val="left"/>
        <w:bidi w:val="0"/>
      </w:pPr>
      <w:r>
        <w:rPr>
          <w:rFonts w:ascii="Times New Roman" w:hAnsi="Times New Roman"/>
          <w:sz w:val="20"/>
          <w:rtl w:val="0"/>
          <w:lang w:val="en-US" w:eastAsia="en-US" w:bidi="en-US"/>
        </w:rPr>
        <w:t>A requirement-traceable functional and integration evaluation comprising 92 documented test cases in the verified prototype environment.</w:t>
      </w:r>
    </w:p>
    <w:p>
      <w:pPr>
        <w:pStyle w:val="Heading1"/>
        <w:keepNext/>
        <w:spacing w:before="160" w:after="60"/>
        <w:jc w:val="left"/>
        <w:bidi w:val="0"/>
      </w:pPr>
      <w:r>
        <w:rPr>
          <w:rFonts w:ascii="Times New Roman" w:hAnsi="Times New Roman"/>
          <w:b/>
          <w:sz w:val="24"/>
          <w:rtl w:val="0"/>
          <w:lang w:val="en-US" w:eastAsia="en-US" w:bidi="en-US"/>
        </w:rPr>
        <w:t>2. Related Work and Research Gap</w:t>
      </w:r>
    </w:p>
    <w:p>
      <w:pPr>
        <w:spacing w:after="80" w:line="252" w:lineRule="auto"/>
        <w:ind w:firstLine="283"/>
        <w:jc w:val="both"/>
        <w:bidi w:val="0"/>
      </w:pPr>
      <w:r>
        <w:rPr>
          <w:rFonts w:ascii="Times New Roman" w:hAnsi="Times New Roman"/>
          <w:b w:val="0"/>
          <w:i w:val="0"/>
          <w:sz w:val="21"/>
          <w:rtl w:val="0"/>
          <w:lang w:val="en-US" w:eastAsia="en-US" w:bidi="en-US"/>
        </w:rPr>
        <w:t>Prior work has addressed important parts of offline-capable mobile systems. Viscaino Quito and Serpa Andrade (2022) studied synchronization between offline and online data-collection sessions through a service boundary. Fernandes et al. (2022) proposed OfflineManager for Android, emphasizing offline status, failed-request management, scheduling, and notification. Duggirala (2018) discussed synchronization techniques, consistency, and conflict concerns in offline-first Android applications, while Guda (2025) examined queues, retries, duplication, and ordering in offline-first chat systems. Pothineni (2024) emphasized local persistence, resilience, synchronization, consistency, and conflict handling at the architectural level.</w:t>
      </w:r>
    </w:p>
    <w:p>
      <w:pPr>
        <w:spacing w:after="80" w:line="252" w:lineRule="auto"/>
        <w:ind w:firstLine="283"/>
        <w:jc w:val="both"/>
        <w:bidi w:val="0"/>
      </w:pPr>
      <w:r>
        <w:rPr>
          <w:rFonts w:ascii="Times New Roman" w:hAnsi="Times New Roman"/>
          <w:b w:val="0"/>
          <w:i w:val="0"/>
          <w:sz w:val="21"/>
          <w:rtl w:val="0"/>
          <w:lang w:val="en-US" w:eastAsia="en-US" w:bidi="en-US"/>
        </w:rPr>
        <w:t>These studies establish the value of local persistence and deferred synchronization, but this study identifies a gap in integrating these concerns with organizational identity, supervisor scope, form-specific permissions, safe record mutations, explicit conflict resolution, attribution, reporting, and bilingual operation in one applied field data workflow. SyncField does not propose a new synchronization algorithm in isolation; its contribution is the integration of offline-first data collection, secure governance, retry safety, record accountability, and centralized oversight.</w:t>
      </w:r>
    </w:p>
    <w:tbl>
      <w:tblPr>
        <w:tblStyle w:val="TableGrid"/>
        <w:tblW w:type="auto" w:w="0"/>
        <w:jc w:val="center"/>
        <w:tblLayout w:type="autofit"/>
        <w:tblLook w:firstColumn="1" w:firstRow="1" w:lastColumn="0" w:lastRow="0" w:noHBand="0" w:noVBand="1" w:val="04A0"/>
        <w:bidiVisual w:val="0"/>
      </w:tblPr>
      <w:tblGrid>
        <w:gridCol w:w="2466"/>
        <w:gridCol w:w="2466"/>
        <w:gridCol w:w="2466"/>
        <w:gridCol w:w="2466"/>
      </w:tblGrid>
      <w:tr>
        <w:trPr>
          <w:cantSplit/>
          <w:tblHeader w:val="true"/>
        </w:trPr>
        <w:tc>
          <w:tcPr>
            <w:tcW w:type="dxa" w:w="1814"/>
            <w:shd w:fill="E7E6E6"/>
            <w:vAlign w:val="center"/>
            <w:tcMar>
              <w:top w:w="80" w:type="dxa"/>
              <w:start w:w="80" w:type="dxa"/>
              <w:bottom w:w="80" w:type="dxa"/>
              <w:end w:w="80" w:type="dxa"/>
            </w:tcMar>
          </w:tcPr>
          <w:p>
            <w:pPr>
              <w:spacing w:before="0" w:after="0" w:line="240" w:lineRule="auto"/>
              <w:jc w:val="left"/>
              <w:bidi w:val="0"/>
            </w:pPr>
            <w:r>
              <w:rPr>
                <w:rFonts w:ascii="Times New Roman" w:hAnsi="Times New Roman"/>
                <w:b/>
                <w:sz w:val="16"/>
                <w:rtl w:val="0"/>
                <w:lang w:val="en-US" w:eastAsia="en-US" w:bidi="en-US"/>
              </w:rPr>
            </w:r>
            <w:r>
              <w:rPr>
                <w:rFonts w:ascii="Times New Roman" w:hAnsi="Times New Roman"/>
                <w:b/>
                <w:sz w:val="16"/>
                <w:rtl w:val="0"/>
                <w:lang w:val="en-US" w:eastAsia="en-US" w:bidi="en-US"/>
              </w:rPr>
              <w:t>Study</w:t>
            </w:r>
          </w:p>
        </w:tc>
        <w:tc>
          <w:tcPr>
            <w:tcW w:type="dxa" w:w="1701"/>
            <w:shd w:fill="E7E6E6"/>
            <w:vAlign w:val="center"/>
            <w:tcMar>
              <w:top w:w="80" w:type="dxa"/>
              <w:start w:w="80" w:type="dxa"/>
              <w:bottom w:w="80" w:type="dxa"/>
              <w:end w:w="80" w:type="dxa"/>
            </w:tcMar>
          </w:tcPr>
          <w:p>
            <w:pPr>
              <w:spacing w:before="0" w:after="0" w:line="240" w:lineRule="auto"/>
              <w:jc w:val="left"/>
              <w:bidi w:val="0"/>
            </w:pPr>
            <w:r>
              <w:rPr>
                <w:rFonts w:ascii="Times New Roman" w:hAnsi="Times New Roman"/>
                <w:b/>
                <w:sz w:val="16"/>
                <w:rtl w:val="0"/>
                <w:lang w:val="en-US" w:eastAsia="en-US" w:bidi="en-US"/>
              </w:rPr>
            </w:r>
            <w:r>
              <w:rPr>
                <w:rFonts w:ascii="Times New Roman" w:hAnsi="Times New Roman"/>
                <w:b/>
                <w:sz w:val="16"/>
                <w:rtl w:val="0"/>
                <w:lang w:val="en-US" w:eastAsia="en-US" w:bidi="en-US"/>
              </w:rPr>
              <w:t>Focus</w:t>
            </w:r>
          </w:p>
        </w:tc>
        <w:tc>
          <w:tcPr>
            <w:tcW w:type="dxa" w:w="2268"/>
            <w:shd w:fill="E7E6E6"/>
            <w:vAlign w:val="center"/>
            <w:tcMar>
              <w:top w:w="80" w:type="dxa"/>
              <w:start w:w="80" w:type="dxa"/>
              <w:bottom w:w="80" w:type="dxa"/>
              <w:end w:w="80" w:type="dxa"/>
            </w:tcMar>
          </w:tcPr>
          <w:p>
            <w:pPr>
              <w:spacing w:before="0" w:after="0" w:line="240" w:lineRule="auto"/>
              <w:jc w:val="left"/>
              <w:bidi w:val="0"/>
            </w:pPr>
            <w:r>
              <w:rPr>
                <w:rFonts w:ascii="Times New Roman" w:hAnsi="Times New Roman"/>
                <w:b/>
                <w:sz w:val="16"/>
                <w:rtl w:val="0"/>
                <w:lang w:val="en-US" w:eastAsia="en-US" w:bidi="en-US"/>
              </w:rPr>
            </w:r>
            <w:r>
              <w:rPr>
                <w:rFonts w:ascii="Times New Roman" w:hAnsi="Times New Roman"/>
                <w:b/>
                <w:sz w:val="16"/>
                <w:rtl w:val="0"/>
                <w:lang w:val="en-US" w:eastAsia="en-US" w:bidi="en-US"/>
              </w:rPr>
              <w:t>Useful contribution</w:t>
            </w:r>
          </w:p>
        </w:tc>
        <w:tc>
          <w:tcPr>
            <w:tcW w:type="dxa" w:w="3742"/>
            <w:shd w:fill="E7E6E6"/>
            <w:vAlign w:val="center"/>
            <w:tcMar>
              <w:top w:w="80" w:type="dxa"/>
              <w:start w:w="80" w:type="dxa"/>
              <w:bottom w:w="80" w:type="dxa"/>
              <w:end w:w="80" w:type="dxa"/>
            </w:tcMar>
          </w:tcPr>
          <w:p>
            <w:pPr>
              <w:spacing w:before="0" w:after="0" w:line="240" w:lineRule="auto"/>
              <w:jc w:val="left"/>
              <w:bidi w:val="0"/>
            </w:pPr>
            <w:r>
              <w:rPr>
                <w:rFonts w:ascii="Times New Roman" w:hAnsi="Times New Roman"/>
                <w:b/>
                <w:sz w:val="16"/>
                <w:rtl w:val="0"/>
                <w:lang w:val="en-US" w:eastAsia="en-US" w:bidi="en-US"/>
              </w:rPr>
            </w:r>
            <w:r>
              <w:rPr>
                <w:rFonts w:ascii="Times New Roman" w:hAnsi="Times New Roman"/>
                <w:b/>
                <w:sz w:val="16"/>
                <w:rtl w:val="0"/>
                <w:lang w:val="en-US" w:eastAsia="en-US" w:bidi="en-US"/>
              </w:rPr>
              <w:t>Position relative to SyncField</w:t>
            </w:r>
          </w:p>
        </w:tc>
      </w:tr>
      <w:tr>
        <w:trPr>
          <w:cantSplit/>
        </w:trPr>
        <w:tc>
          <w:tcPr>
            <w:tcW w:type="dxa" w:w="1814"/>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Viscaino Quito &amp; Serpa Andrade (2022)</w:t>
            </w:r>
          </w:p>
        </w:tc>
        <w:tc>
          <w:tcPr>
            <w:tcW w:type="dxa" w:w="1701"/>
            <w:vAlign w:val="center"/>
            <w:tcMar>
              <w:top w:w="80" w:type="dxa"/>
              <w:start w:w="80" w:type="dxa"/>
              <w:bottom w:w="80" w:type="dxa"/>
              <w:end w:w="80" w:type="dxa"/>
            </w:tcMar>
          </w:tcPr>
          <w:p>
            <w:pPr>
              <w:spacing w:before="0" w:after="0" w:line="240" w:lineRule="auto"/>
              <w:jc w:val="left"/>
              <w:bidi w:val="0"/>
            </w:pPr>
            <w:r>
              <w:rPr>
                <w:rFonts w:ascii="Times New Roman" w:hAnsi="Times New Roman"/>
                <w:sz w:val="16"/>
                <w:rtl w:val="0"/>
                <w:lang w:val="en-US" w:eastAsia="en-US" w:bidi="en-US"/>
              </w:rPr>
              <w:t>Offline/online data transfer</w:t>
            </w:r>
          </w:p>
        </w:tc>
        <w:tc>
          <w:tcPr>
            <w:tcW w:type="dxa" w:w="2268"/>
            <w:vAlign w:val="center"/>
            <w:tcMar>
              <w:top w:w="80" w:type="dxa"/>
              <w:start w:w="80" w:type="dxa"/>
              <w:bottom w:w="80" w:type="dxa"/>
              <w:end w:w="80" w:type="dxa"/>
            </w:tcMar>
          </w:tcPr>
          <w:p>
            <w:pPr>
              <w:spacing w:before="0" w:after="0" w:line="240" w:lineRule="auto"/>
              <w:jc w:val="left"/>
              <w:bidi w:val="0"/>
            </w:pPr>
            <w:r>
              <w:rPr>
                <w:rFonts w:ascii="Times New Roman" w:hAnsi="Times New Roman"/>
                <w:sz w:val="16"/>
                <w:rtl w:val="0"/>
                <w:lang w:val="en-US" w:eastAsia="en-US" w:bidi="en-US"/>
              </w:rPr>
              <w:t>Local/cloud separation and web-service-based synchronization</w:t>
            </w:r>
          </w:p>
        </w:tc>
        <w:tc>
          <w:tcPr>
            <w:tcW w:type="dxa" w:w="3742"/>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Different technology stack; does not describe SyncField's integrated identity, scope, lifecycle, and reporting model.</w:t>
            </w:r>
          </w:p>
        </w:tc>
      </w:tr>
      <w:tr>
        <w:trPr>
          <w:cantSplit/>
        </w:trPr>
        <w:tc>
          <w:tcPr>
            <w:tcW w:type="dxa" w:w="1814"/>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Fernandes et al. (2022)</w:t>
            </w:r>
          </w:p>
        </w:tc>
        <w:tc>
          <w:tcPr>
            <w:tcW w:type="dxa" w:w="1701"/>
            <w:vAlign w:val="center"/>
            <w:tcMar>
              <w:top w:w="80" w:type="dxa"/>
              <w:start w:w="80" w:type="dxa"/>
              <w:bottom w:w="80" w:type="dxa"/>
              <w:end w:w="80" w:type="dxa"/>
            </w:tcMar>
          </w:tcPr>
          <w:p>
            <w:pPr>
              <w:spacing w:before="0" w:after="0" w:line="240" w:lineRule="auto"/>
              <w:jc w:val="left"/>
              <w:bidi w:val="0"/>
            </w:pPr>
            <w:r>
              <w:rPr>
                <w:rFonts w:ascii="Times New Roman" w:hAnsi="Times New Roman"/>
                <w:sz w:val="16"/>
                <w:rtl w:val="0"/>
                <w:lang w:val="en-US" w:eastAsia="en-US" w:bidi="en-US"/>
              </w:rPr>
              <w:t>Offline status management on Android</w:t>
            </w:r>
          </w:p>
        </w:tc>
        <w:tc>
          <w:tcPr>
            <w:tcW w:type="dxa" w:w="2268"/>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Failure retention, scheduling, notifications</w:t>
            </w:r>
          </w:p>
        </w:tc>
        <w:tc>
          <w:tcPr>
            <w:tcW w:type="dxa" w:w="3742"/>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Uses an Android-specific library and automatic scheduling; SyncField uses Flutter and deliberate manual synchronization.</w:t>
            </w:r>
          </w:p>
        </w:tc>
      </w:tr>
      <w:tr>
        <w:trPr>
          <w:cantSplit/>
        </w:trPr>
        <w:tc>
          <w:tcPr>
            <w:tcW w:type="dxa" w:w="1814"/>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Duggirala (2018)</w:t>
            </w:r>
          </w:p>
        </w:tc>
        <w:tc>
          <w:tcPr>
            <w:tcW w:type="dxa" w:w="1701"/>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Offline-first synchronization techniques</w:t>
            </w:r>
          </w:p>
        </w:tc>
        <w:tc>
          <w:tcPr>
            <w:tcW w:type="dxa" w:w="2268"/>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Consistency, deferred synchronization, conflict considerations</w:t>
            </w:r>
          </w:p>
        </w:tc>
        <w:tc>
          <w:tcPr>
            <w:tcW w:type="dxa" w:w="3742"/>
            <w:vAlign w:val="center"/>
            <w:tcMar>
              <w:top w:w="80" w:type="dxa"/>
              <w:start w:w="80" w:type="dxa"/>
              <w:bottom w:w="80" w:type="dxa"/>
              <w:end w:w="80" w:type="dxa"/>
            </w:tcMar>
          </w:tcPr>
          <w:p>
            <w:pPr>
              <w:spacing w:before="0" w:after="0" w:line="240" w:lineRule="auto"/>
              <w:jc w:val="left"/>
              <w:bidi w:val="0"/>
            </w:pPr>
            <w:r>
              <w:rPr>
                <w:rFonts w:ascii="Times New Roman" w:hAnsi="Times New Roman"/>
                <w:sz w:val="16"/>
                <w:rtl w:val="0"/>
                <w:lang w:val="en-US" w:eastAsia="en-US" w:bidi="en-US"/>
              </w:rPr>
              <w:t>Conceptual treatment; SyncField implements stable identifiers and an explicit record lifecycle workflow.</w:t>
            </w:r>
          </w:p>
        </w:tc>
      </w:tr>
      <w:tr>
        <w:trPr>
          <w:cantSplit/>
        </w:trPr>
        <w:tc>
          <w:tcPr>
            <w:tcW w:type="dxa" w:w="1814"/>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Guda (2025)</w:t>
            </w:r>
          </w:p>
        </w:tc>
        <w:tc>
          <w:tcPr>
            <w:tcW w:type="dxa" w:w="1701"/>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Offline-first chat architecture</w:t>
            </w:r>
          </w:p>
        </w:tc>
        <w:tc>
          <w:tcPr>
            <w:tcW w:type="dxa" w:w="2268"/>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Queues, retry, duplication, ordering</w:t>
            </w:r>
          </w:p>
        </w:tc>
        <w:tc>
          <w:tcPr>
            <w:tcW w:type="dxa" w:w="3742"/>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Targets chat messages rather than structured field records and organizational authorization.</w:t>
            </w:r>
          </w:p>
        </w:tc>
      </w:tr>
      <w:tr>
        <w:trPr>
          <w:cantSplit/>
        </w:trPr>
        <w:tc>
          <w:tcPr>
            <w:tcW w:type="dxa" w:w="1814"/>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Pothineni (2024)</w:t>
            </w:r>
          </w:p>
        </w:tc>
        <w:tc>
          <w:tcPr>
            <w:tcW w:type="dxa" w:w="1701"/>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Offline-first mobile architecture</w:t>
            </w:r>
          </w:p>
        </w:tc>
        <w:tc>
          <w:tcPr>
            <w:tcW w:type="dxa" w:w="2268"/>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Resilience, local persistence, synchronization</w:t>
            </w:r>
          </w:p>
        </w:tc>
        <w:tc>
          <w:tcPr>
            <w:tcW w:type="dxa" w:w="3742"/>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Broad architecture; SyncField adds roles, form permissions, supervisor scope, reports, attribution, and lifecycle controls.</w:t>
            </w:r>
          </w:p>
        </w:tc>
      </w:tr>
    </w:tbl>
    <w:p>
      <w:pPr>
        <w:spacing w:after="120" w:before="40"/>
        <w:jc w:val="center"/>
        <w:keepLines/>
        <w:bidi w:val="0"/>
      </w:pPr>
      <w:r>
        <w:rPr>
          <w:rFonts w:ascii="Times New Roman" w:hAnsi="Times New Roman"/>
          <w:b w:val="0"/>
          <w:i/>
          <w:sz w:val="18"/>
          <w:rtl w:val="0"/>
          <w:lang w:val="en-US" w:eastAsia="en-US" w:bidi="en-US"/>
        </w:rPr>
        <w:t>Table 1. Positioning of SyncField relative to selected related work.</w:t>
      </w:r>
    </w:p>
    <w:p>
      <w:pPr>
        <w:pStyle w:val="Heading1"/>
        <w:keepNext/>
        <w:spacing w:before="160" w:after="60"/>
        <w:jc w:val="left"/>
        <w:bidi w:val="0"/>
      </w:pPr>
      <w:r>
        <w:rPr>
          <w:rFonts w:ascii="Times New Roman" w:hAnsi="Times New Roman"/>
          <w:b/>
          <w:sz w:val="24"/>
          <w:rtl w:val="0"/>
          <w:lang w:val="en-US" w:eastAsia="en-US" w:bidi="en-US"/>
        </w:rPr>
        <w:t>3. Research Method and System Design</w:t>
      </w:r>
    </w:p>
    <w:p>
      <w:pPr>
        <w:pStyle w:val="Heading2"/>
        <w:keepNext/>
        <w:spacing w:before="100" w:after="60"/>
        <w:jc w:val="left"/>
        <w:bidi w:val="0"/>
      </w:pPr>
      <w:r>
        <w:rPr>
          <w:rFonts w:ascii="Times New Roman" w:hAnsi="Times New Roman"/>
          <w:b/>
          <w:sz w:val="22"/>
          <w:rtl w:val="0"/>
          <w:lang w:val="en-US" w:eastAsia="en-US" w:bidi="en-US"/>
        </w:rPr>
        <w:t>3.1 Engineering and Development Approach</w:t>
      </w:r>
    </w:p>
    <w:p>
      <w:pPr>
        <w:spacing w:after="80" w:line="252" w:lineRule="auto"/>
        <w:ind w:firstLine="283"/>
        <w:jc w:val="both"/>
        <w:bidi w:val="0"/>
      </w:pPr>
      <w:r>
        <w:rPr>
          <w:rFonts w:ascii="Times New Roman" w:hAnsi="Times New Roman"/>
          <w:b w:val="0"/>
          <w:i w:val="0"/>
          <w:sz w:val="21"/>
          <w:rtl w:val="0"/>
          <w:lang w:val="en-US" w:eastAsia="en-US" w:bidi="en-US"/>
        </w:rPr>
        <w:t>The study used an engineering design-and-evaluation approach. The problem and project objectives were translated into functional and non-functional requirements, architecture, implementation components, and requirement-linked tests in accordance with established software-engineering practice (Sommerville, 2016). Development was iterative and incremental using Scrum principles, with successive work on project structure, offline forms and SQLite persistence, internal authentication and secure sessions, roles and permissions, synchronization, record lifecycle and conflict handling, reporting, localization, and quality hardening (Schwaber &amp; Sutherland, 2020; Pressman &amp; Maxim, 2020).</w:t>
      </w:r>
    </w:p>
    <w:p>
      <w:pPr>
        <w:spacing w:after="80" w:line="252" w:lineRule="auto"/>
        <w:ind w:firstLine="283"/>
        <w:jc w:val="both"/>
        <w:bidi w:val="0"/>
      </w:pPr>
      <w:r>
        <w:rPr>
          <w:rFonts w:ascii="Times New Roman" w:hAnsi="Times New Roman"/>
          <w:sz w:val="21"/>
          <w:rtl w:val="0"/>
          <w:lang w:val="en-US" w:eastAsia="en-US" w:bidi="en-US"/>
        </w:rPr>
        <w:t>The analyzed system defined 24 functional requirements and 12 non-functional requirements. The non-functional criteria emphasized reliability, data integrity, backend-enforced security and privacy, clear error handling, configuration separation, maintainability, and testability. Quantitative performance thresholds were deliberately excluded when no retained measurements supported them.</w:t>
      </w:r>
    </w:p>
    <w:p>
      <w:pPr>
        <w:pStyle w:val="Heading2"/>
        <w:keepNext/>
        <w:spacing w:before="100" w:after="60"/>
        <w:jc w:val="left"/>
        <w:bidi w:val="0"/>
      </w:pPr>
      <w:r>
        <w:rPr>
          <w:rFonts w:ascii="Times New Roman" w:hAnsi="Times New Roman"/>
          <w:b/>
          <w:sz w:val="22"/>
          <w:rtl w:val="0"/>
          <w:lang w:val="en-US" w:eastAsia="en-US" w:bidi="en-US"/>
        </w:rPr>
        <w:t>3.2 Architecture</w:t>
      </w:r>
    </w:p>
    <w:p>
      <w:pPr>
        <w:spacing w:after="80" w:line="252" w:lineRule="auto"/>
        <w:ind w:firstLine="283"/>
        <w:jc w:val="both"/>
        <w:keepLines/>
        <w:bidi w:val="0"/>
      </w:pPr>
      <w:r>
        <w:rPr>
          <w:rFonts w:ascii="Times New Roman" w:hAnsi="Times New Roman"/>
          <w:sz w:val="21"/>
          <w:rtl w:val="0"/>
          <w:lang w:val="en-US" w:eastAsia="en-US" w:bidi="en-US"/>
        </w:rPr>
        <w:t>SyncField uses a layered architecture. In Flutter, presentation is separated from application logic and data access. SQLite stores operational records and the mutation queue; secure storage holds session data; SharedPreferences stores non-sensitive settings; and ApiClient handles authenticated JSON communication (Flutter Documentation, 2024; SQLite Consortium, 2024). The Node.js/Express.js backend validates authentication, authorization, form permissions, supervisor scope, record ownership, and payloads before executing PostgreSQL transactions through REST-style HTTP/JSON interfaces (Fielding, 2000; Node.js Documentation, 2024; PostgreSQL Global Development Group, 2024).</w:t>
      </w:r>
    </w:p>
    <w:p>
      <w:pPr>
        <w:keepNext/>
        <w:spacing w:before="40" w:after="0"/>
        <w:jc w:val="center"/>
        <w:bidi w:val="0"/>
      </w:pPr>
      <w:r>
        <w:rPr>
          <w:rtl w:val="0"/>
          <w:lang w:val="en-US" w:eastAsia="en-US" w:bidi="en-US"/>
        </w:rPr>
        <w:drawing>
          <wp:inline xmlns:a="http://schemas.openxmlformats.org/drawingml/2006/main" xmlns:pic="http://schemas.openxmlformats.org/drawingml/2006/picture">
            <wp:extent cx="4617720" cy="3086066"/>
            <wp:docPr id="1" name="Picture 1" descr="Layered SyncField architecture showing the Flutter presentation, application, and data layers connected to a Node.js/Express backend and PostgreSQL." title="Layered SyncField architecture showing the Flutter presentation, application, and data layers connected to a Node"/>
            <wp:cNvGraphicFramePr>
              <a:graphicFrameLocks noChangeAspect="1"/>
            </wp:cNvGraphicFramePr>
            <a:graphic>
              <a:graphicData uri="http://schemas.openxmlformats.org/drawingml/2006/picture">
                <pic:pic>
                  <pic:nvPicPr>
                    <pic:cNvPr id="0" name="syncfield_architecture_cropped.png"/>
                    <pic:cNvPicPr/>
                  </pic:nvPicPr>
                  <pic:blipFill>
                    <a:blip r:embed="rId10"/>
                    <a:stretch>
                      <a:fillRect/>
                    </a:stretch>
                  </pic:blipFill>
                  <pic:spPr>
                    <a:xfrm>
                      <a:off x="0" y="0"/>
                      <a:ext cx="4617720" cy="3086066"/>
                    </a:xfrm>
                    <a:prstGeom prst="rect"/>
                  </pic:spPr>
                </pic:pic>
              </a:graphicData>
            </a:graphic>
          </wp:inline>
        </w:drawing>
      </w:r>
    </w:p>
    <w:p>
      <w:pPr>
        <w:spacing w:after="120" w:before="40"/>
        <w:jc w:val="center"/>
        <w:keepLines/>
        <w:bidi w:val="0"/>
      </w:pPr>
      <w:r>
        <w:rPr>
          <w:rFonts w:ascii="Times New Roman" w:hAnsi="Times New Roman"/>
          <w:b w:val="0"/>
          <w:i/>
          <w:sz w:val="18"/>
          <w:rtl w:val="0"/>
          <w:lang w:val="en-US" w:eastAsia="en-US" w:bidi="en-US"/>
        </w:rPr>
        <w:t>Figure 1. Implemented SyncField architecture (adapted from the graduation research implementation figure).</w:t>
      </w:r>
    </w:p>
    <w:p>
      <w:pPr>
        <w:pStyle w:val="Heading2"/>
        <w:keepNext/>
        <w:spacing w:before="100" w:after="60"/>
        <w:jc w:val="left"/>
        <w:bidi w:val="0"/>
      </w:pPr>
      <w:r>
        <w:rPr>
          <w:rFonts w:ascii="Times New Roman" w:hAnsi="Times New Roman"/>
          <w:b/>
          <w:sz w:val="22"/>
          <w:rtl w:val="0"/>
          <w:lang w:val="en-US" w:eastAsia="en-US" w:bidi="en-US"/>
        </w:rPr>
        <w:t>3.3 Offline-First Data and Synchronization Model</w:t>
      </w:r>
    </w:p>
    <w:p>
      <w:pPr>
        <w:spacing w:after="80" w:line="252" w:lineRule="auto"/>
        <w:ind w:firstLine="283"/>
        <w:jc w:val="both"/>
        <w:bidi w:val="0"/>
      </w:pPr>
      <w:r>
        <w:rPr>
          <w:rFonts w:ascii="Times New Roman" w:hAnsi="Times New Roman"/>
          <w:sz w:val="21"/>
          <w:rtl w:val="0"/>
          <w:lang w:val="en-US" w:eastAsia="en-US" w:bidi="en-US"/>
        </w:rPr>
        <w:t>Authorized users can open predefined personal and dynamic forms, validate input, and store valid responses in SQLite without requiring an active connection. A response receives a stable client_response_id and remains locally visible as unsynchronized until an authoritative server result is accepted. Synchronization is explicitly user-initiated through Sync Now; network availability and server reachability are treated as distinct conditions. Failed or uncertain records remain pending for later retry rather than being removed or marked as synchronized.</w:t>
      </w:r>
    </w:p>
    <w:p>
      <w:pPr>
        <w:spacing w:after="80" w:line="252" w:lineRule="auto"/>
        <w:ind w:firstLine="283"/>
        <w:jc w:val="both"/>
        <w:bidi w:val="0"/>
      </w:pPr>
      <w:r>
        <w:rPr>
          <w:rFonts w:ascii="Times New Roman" w:hAnsi="Times New Roman"/>
          <w:sz w:val="21"/>
          <w:rtl w:val="0"/>
          <w:lang w:val="en-US" w:eastAsia="en-US" w:bidi="en-US"/>
        </w:rPr>
        <w:t>For already synchronized records, update, soft-delete, and restore actions are persisted as durable local mutations. Each mutation includes a stable client_operation_id and a base server version. The backend applies optimistic version checks: a matching version permits the transaction, while a mismatch produces an HTTP 409 conflict and current server state. The user can then adopt the server version or rebase the local change on the latest version rather than relying on silent Last-Write-Wins behavior.</w:t>
      </w:r>
    </w:p>
    <w:p>
      <w:pPr>
        <w:pStyle w:val="Heading2"/>
        <w:keepNext/>
        <w:spacing w:before="100" w:after="60"/>
        <w:jc w:val="left"/>
        <w:bidi w:val="0"/>
      </w:pPr>
      <w:r>
        <w:rPr>
          <w:rFonts w:ascii="Times New Roman" w:hAnsi="Times New Roman"/>
          <w:b/>
          <w:sz w:val="22"/>
          <w:rtl w:val="0"/>
          <w:lang w:val="en-US" w:eastAsia="en-US" w:bidi="en-US"/>
        </w:rPr>
        <w:t>3.4 Identity, Authorization, and Security Boundaries</w:t>
      </w:r>
    </w:p>
    <w:p>
      <w:pPr>
        <w:spacing w:after="80" w:line="252" w:lineRule="auto"/>
        <w:ind w:firstLine="283"/>
        <w:jc w:val="both"/>
        <w:bidi w:val="0"/>
      </w:pPr>
      <w:r>
        <w:rPr>
          <w:rFonts w:ascii="Times New Roman" w:hAnsi="Times New Roman"/>
          <w:sz w:val="21"/>
          <w:rtl w:val="0"/>
          <w:lang w:val="en-US" w:eastAsia="en-US" w:bidi="en-US"/>
        </w:rPr>
        <w:t>The system defines three operational roles: System Administrator, Supervisor, and Data Collector. Access decisions combine role-level permissions, per-form permissions, record ownership, and supervisor assignment scope. Client-side visibility improves usability, but the backend remains the authoritative security boundary; hidden Flutter controls are not treated as sufficient authorization. Sensitive session data are stored through secure storage, while plaintext passwords are not stored in SQLite. The verified deployment uses HTTP only within a trusted local network; public deployment requires HTTPS.</w:t>
      </w:r>
    </w:p>
    <w:p>
      <w:pPr>
        <w:pStyle w:val="Heading2"/>
        <w:keepNext/>
        <w:jc w:val="left"/>
        <w:bidi w:val="0"/>
      </w:pPr>
      <w:r>
        <w:rPr>
          <w:rFonts w:ascii="Times New Roman" w:hAnsi="Times New Roman"/>
          <w:b/>
          <w:sz w:val="22"/>
          <w:rtl w:val="0"/>
          <w:lang w:val="en-US" w:eastAsia="en-US" w:bidi="en-US"/>
        </w:rPr>
        <w:t>3.5 UML Design Models</w:t>
      </w:r>
    </w:p>
    <w:p>
      <w:pPr>
        <w:spacing w:after="80" w:line="252" w:lineRule="auto"/>
        <w:jc w:val="both"/>
        <w:keepNext/>
        <w:bidi w:val="0"/>
      </w:pPr>
      <w:r>
        <w:rPr>
          <w:rFonts w:ascii="Times New Roman" w:hAnsi="Times New Roman"/>
          <w:b w:val="0"/>
          <w:i w:val="0"/>
          <w:sz w:val="21"/>
          <w:rtl w:val="0"/>
          <w:lang w:val="en-US" w:eastAsia="en-US" w:bidi="en-US"/>
        </w:rPr>
        <w:t>To make the system behavior and structure explicit without reproducing every role-specific model from the underlying graduation research, Figures 2–10 present the UML views most directly related to the paper’s central contribution. The models summarize actor interaction, application flow, synchronization and conflict behavior, state transitions, software components, core classes, and the evaluated deployment boundary.</w:t>
      </w:r>
    </w:p>
    <w:p>
      <w:pPr>
        <w:keepNext/>
        <w:spacing w:before="40" w:after="0"/>
        <w:jc w:val="center"/>
        <w:bidi w:val="0"/>
      </w:pPr>
      <w:r>
        <w:rPr>
          <w:rtl w:val="0"/>
          <w:lang w:val="en-US" w:eastAsia="en-US" w:bidi="en-US"/>
        </w:rPr>
        <w:drawing>
          <wp:inline xmlns:a="http://schemas.openxmlformats.org/drawingml/2006/main" xmlns:pic="http://schemas.openxmlformats.org/drawingml/2006/picture">
            <wp:extent cx="5623560" cy="3244362"/>
            <wp:docPr id="2" name="Picture 2" descr="Overall SyncField use case diagram showing common functions and role-specific functions for System Administrator, Supervisor, and Data Collector." title="Overall SyncField use case diagram showing common functions and role-specific functions for System Administrator, Superv"/>
            <wp:cNvGraphicFramePr>
              <a:graphicFrameLocks noChangeAspect="1"/>
            </wp:cNvGraphicFramePr>
            <a:graphic>
              <a:graphicData uri="http://schemas.openxmlformats.org/drawingml/2006/picture">
                <pic:pic>
                  <pic:nvPicPr>
                    <pic:cNvPr id="0" name="overall_use_case.png"/>
                    <pic:cNvPicPr/>
                  </pic:nvPicPr>
                  <pic:blipFill>
                    <a:blip r:embed="rId11"/>
                    <a:stretch>
                      <a:fillRect/>
                    </a:stretch>
                  </pic:blipFill>
                  <pic:spPr>
                    <a:xfrm>
                      <a:off x="0" y="0"/>
                      <a:ext cx="5623560" cy="3244362"/>
                    </a:xfrm>
                    <a:prstGeom prst="rect"/>
                  </pic:spPr>
                </pic:pic>
              </a:graphicData>
            </a:graphic>
          </wp:inline>
        </w:drawing>
      </w:r>
    </w:p>
    <w:p>
      <w:pPr>
        <w:keepLines/>
        <w:spacing w:before="40" w:after="120"/>
        <w:jc w:val="center"/>
        <w:bidi w:val="0"/>
      </w:pPr>
      <w:r>
        <w:rPr>
          <w:rFonts w:ascii="Times New Roman" w:hAnsi="Times New Roman"/>
          <w:b w:val="0"/>
          <w:i/>
          <w:sz w:val="18"/>
          <w:rtl w:val="0"/>
          <w:lang w:val="en-US" w:eastAsia="en-US" w:bidi="en-US"/>
        </w:rPr>
        <w:t>Figure 2. Overall use case diagram for SyncField.</w:t>
      </w:r>
    </w:p>
    <w:p>
      <w:pPr>
        <w:keepNext/>
        <w:spacing w:before="40" w:after="0"/>
        <w:jc w:val="center"/>
        <w:bidi w:val="0"/>
      </w:pPr>
      <w:r>
        <w:rPr>
          <w:rtl w:val="0"/>
          <w:lang w:val="en-US" w:eastAsia="en-US" w:bidi="en-US"/>
        </w:rPr>
        <w:drawing>
          <wp:inline xmlns:a="http://schemas.openxmlformats.org/drawingml/2006/main" xmlns:pic="http://schemas.openxmlformats.org/drawingml/2006/picture">
            <wp:extent cx="5532120" cy="3429914"/>
            <wp:docPr id="3" name="Picture 3" descr="Overall system activity diagram showing startup, server configuration, session restoration, authentication, role loading, role-based dashboards, and logout." title="Overall system activity diagram showing startup, server configuration, session restoration, authentication, role loading"/>
            <wp:cNvGraphicFramePr>
              <a:graphicFrameLocks noChangeAspect="1"/>
            </wp:cNvGraphicFramePr>
            <a:graphic>
              <a:graphicData uri="http://schemas.openxmlformats.org/drawingml/2006/picture">
                <pic:pic>
                  <pic:nvPicPr>
                    <pic:cNvPr id="0" name="overall_activity.png"/>
                    <pic:cNvPicPr/>
                  </pic:nvPicPr>
                  <pic:blipFill>
                    <a:blip r:embed="rId12"/>
                    <a:stretch>
                      <a:fillRect/>
                    </a:stretch>
                  </pic:blipFill>
                  <pic:spPr>
                    <a:xfrm>
                      <a:off x="0" y="0"/>
                      <a:ext cx="5532120" cy="3429914"/>
                    </a:xfrm>
                    <a:prstGeom prst="rect"/>
                  </pic:spPr>
                </pic:pic>
              </a:graphicData>
            </a:graphic>
          </wp:inline>
        </w:drawing>
      </w:r>
    </w:p>
    <w:p>
      <w:pPr>
        <w:keepLines/>
        <w:spacing w:before="40" w:after="120"/>
        <w:jc w:val="center"/>
        <w:bidi w:val="0"/>
      </w:pPr>
      <w:r>
        <w:rPr>
          <w:rFonts w:ascii="Times New Roman" w:hAnsi="Times New Roman"/>
          <w:b w:val="0"/>
          <w:i/>
          <w:sz w:val="18"/>
          <w:rtl w:val="0"/>
          <w:lang w:val="en-US" w:eastAsia="en-US" w:bidi="en-US"/>
        </w:rPr>
        <w:t>Figure 3. Overall system activity diagram.</w:t>
      </w:r>
    </w:p>
    <w:p>
      <w:pPr>
        <w:keepNext/>
        <w:spacing w:before="40" w:after="0"/>
        <w:jc w:val="center"/>
        <w:bidi w:val="0"/>
      </w:pPr>
      <w:r>
        <w:rPr>
          <w:rtl w:val="0"/>
          <w:lang w:val="en-US" w:eastAsia="en-US" w:bidi="en-US"/>
        </w:rPr>
        <w:drawing>
          <wp:inline xmlns:a="http://schemas.openxmlformats.org/drawingml/2006/main" xmlns:pic="http://schemas.openxmlformats.org/drawingml/2006/picture">
            <wp:extent cx="5440680" cy="4035171"/>
            <wp:docPr id="4" name="Picture 4" descr="Manual synchronization sequence diagram showing the user, SyncService, SQLite queue, backend API, authorization services, and PostgreSQL during item synchronization." title="Manual synchronization sequence diagram showing the user, SyncService, SQLite queue, backend API, authorization services"/>
            <wp:cNvGraphicFramePr>
              <a:graphicFrameLocks noChangeAspect="1"/>
            </wp:cNvGraphicFramePr>
            <a:graphic>
              <a:graphicData uri="http://schemas.openxmlformats.org/drawingml/2006/picture">
                <pic:pic>
                  <pic:nvPicPr>
                    <pic:cNvPr id="0" name="manual_sync_sequence.png"/>
                    <pic:cNvPicPr/>
                  </pic:nvPicPr>
                  <pic:blipFill>
                    <a:blip r:embed="rId13"/>
                    <a:stretch>
                      <a:fillRect/>
                    </a:stretch>
                  </pic:blipFill>
                  <pic:spPr>
                    <a:xfrm>
                      <a:off x="0" y="0"/>
                      <a:ext cx="5440680" cy="4035171"/>
                    </a:xfrm>
                    <a:prstGeom prst="rect"/>
                  </pic:spPr>
                </pic:pic>
              </a:graphicData>
            </a:graphic>
          </wp:inline>
        </w:drawing>
      </w:r>
    </w:p>
    <w:p>
      <w:pPr>
        <w:keepLines/>
        <w:spacing w:before="40" w:after="120"/>
        <w:jc w:val="center"/>
        <w:bidi w:val="0"/>
      </w:pPr>
      <w:r>
        <w:rPr>
          <w:rFonts w:ascii="Times New Roman" w:hAnsi="Times New Roman"/>
          <w:b w:val="0"/>
          <w:i/>
          <w:sz w:val="18"/>
          <w:rtl w:val="0"/>
          <w:lang w:val="en-US" w:eastAsia="en-US" w:bidi="en-US"/>
        </w:rPr>
        <w:t>Figure 4. Manual synchronization sequence diagram.</w:t>
      </w:r>
    </w:p>
    <w:p>
      <w:pPr>
        <w:keepNext/>
        <w:spacing w:before="40" w:after="0"/>
        <w:jc w:val="center"/>
        <w:bidi w:val="0"/>
      </w:pPr>
      <w:r>
        <w:rPr>
          <w:rtl w:val="0"/>
          <w:lang w:val="en-US" w:eastAsia="en-US" w:bidi="en-US"/>
        </w:rPr>
        <w:drawing>
          <wp:inline xmlns:a="http://schemas.openxmlformats.org/drawingml/2006/main" xmlns:pic="http://schemas.openxmlformats.org/drawingml/2006/picture">
            <wp:extent cx="5257800" cy="4228148"/>
            <wp:docPr id="5" name="Picture 5" descr="Record update and conflict-resolution sequence diagram showing queued mutations, optimistic version checking, HTTP 409 conflict handling, and user resolution options." title="Record update and conflict-resolution sequence diagram showing queued mutations, optimistic version checking, HTTP 409 c"/>
            <wp:cNvGraphicFramePr>
              <a:graphicFrameLocks noChangeAspect="1"/>
            </wp:cNvGraphicFramePr>
            <a:graphic>
              <a:graphicData uri="http://schemas.openxmlformats.org/drawingml/2006/picture">
                <pic:pic>
                  <pic:nvPicPr>
                    <pic:cNvPr id="0" name="conflict_sequence.png"/>
                    <pic:cNvPicPr/>
                  </pic:nvPicPr>
                  <pic:blipFill>
                    <a:blip r:embed="rId14"/>
                    <a:stretch>
                      <a:fillRect/>
                    </a:stretch>
                  </pic:blipFill>
                  <pic:spPr>
                    <a:xfrm>
                      <a:off x="0" y="0"/>
                      <a:ext cx="5257800" cy="4228148"/>
                    </a:xfrm>
                    <a:prstGeom prst="rect"/>
                  </pic:spPr>
                </pic:pic>
              </a:graphicData>
            </a:graphic>
          </wp:inline>
        </w:drawing>
      </w:r>
    </w:p>
    <w:p>
      <w:pPr>
        <w:keepLines/>
        <w:spacing w:before="40" w:after="120"/>
        <w:jc w:val="center"/>
        <w:bidi w:val="0"/>
      </w:pPr>
      <w:r>
        <w:rPr>
          <w:rFonts w:ascii="Times New Roman" w:hAnsi="Times New Roman"/>
          <w:b w:val="0"/>
          <w:i/>
          <w:sz w:val="18"/>
          <w:rtl w:val="0"/>
          <w:lang w:val="en-US" w:eastAsia="en-US" w:bidi="en-US"/>
        </w:rPr>
        <w:t>Figure 5. Record update and conflict-resolution sequence diagram.</w:t>
      </w:r>
    </w:p>
    <w:p>
      <w:pPr>
        <w:keepNext/>
        <w:spacing w:before="40" w:after="0"/>
        <w:jc w:val="center"/>
        <w:bidi w:val="0"/>
      </w:pPr>
      <w:r>
        <w:rPr>
          <w:rtl w:val="0"/>
          <w:lang w:val="en-US" w:eastAsia="en-US" w:bidi="en-US"/>
        </w:rPr>
        <w:drawing>
          <wp:inline xmlns:a="http://schemas.openxmlformats.org/drawingml/2006/main" xmlns:pic="http://schemas.openxmlformats.org/drawingml/2006/picture">
            <wp:extent cx="4343400" cy="4620638"/>
            <wp:docPr id="6" name="Picture 6" descr="Response synchronization state-machine diagram showing Editing, Validation Failed, Pending Locally, Synchronizing, Synchronization Failed, and Synchronized states." title="Response synchronization state-machine diagram showing Editing, Validation Failed, Pending Locally, Synchronizing, Synch"/>
            <wp:cNvGraphicFramePr>
              <a:graphicFrameLocks noChangeAspect="1"/>
            </wp:cNvGraphicFramePr>
            <a:graphic>
              <a:graphicData uri="http://schemas.openxmlformats.org/drawingml/2006/picture">
                <pic:pic>
                  <pic:nvPicPr>
                    <pic:cNvPr id="0" name="response_state.png"/>
                    <pic:cNvPicPr/>
                  </pic:nvPicPr>
                  <pic:blipFill>
                    <a:blip r:embed="rId15"/>
                    <a:stretch>
                      <a:fillRect/>
                    </a:stretch>
                  </pic:blipFill>
                  <pic:spPr>
                    <a:xfrm>
                      <a:off x="0" y="0"/>
                      <a:ext cx="4343400" cy="4620638"/>
                    </a:xfrm>
                    <a:prstGeom prst="rect"/>
                  </pic:spPr>
                </pic:pic>
              </a:graphicData>
            </a:graphic>
          </wp:inline>
        </w:drawing>
      </w:r>
    </w:p>
    <w:p>
      <w:pPr>
        <w:keepLines/>
        <w:spacing w:before="40" w:after="120"/>
        <w:jc w:val="center"/>
        <w:bidi w:val="0"/>
      </w:pPr>
      <w:r>
        <w:rPr>
          <w:rFonts w:ascii="Times New Roman" w:hAnsi="Times New Roman"/>
          <w:b w:val="0"/>
          <w:i/>
          <w:sz w:val="18"/>
          <w:rtl w:val="0"/>
          <w:lang w:val="en-US" w:eastAsia="en-US" w:bidi="en-US"/>
        </w:rPr>
        <w:t>Figure 6. Response synchronization state-machine diagram.</w:t>
      </w:r>
    </w:p>
    <w:p>
      <w:pPr>
        <w:keepNext/>
        <w:spacing w:before="40" w:after="0"/>
        <w:jc w:val="center"/>
        <w:bidi w:val="0"/>
      </w:pPr>
      <w:r>
        <w:rPr>
          <w:rtl w:val="0"/>
          <w:lang w:val="en-US" w:eastAsia="en-US" w:bidi="en-US"/>
        </w:rPr>
        <w:drawing>
          <wp:inline xmlns:a="http://schemas.openxmlformats.org/drawingml/2006/main" xmlns:pic="http://schemas.openxmlformats.org/drawingml/2006/picture">
            <wp:extent cx="5166360" cy="3685337"/>
            <wp:docPr id="7" name="Picture 7" descr="Record mutation state-machine diagram showing Pending, Processing, Retryable, Conflict, Failed, Succeeded, server-resolution, and rebased-pending states." title="Record mutation state-machine diagram showing Pending, Processing, Retryable, Conflict, Failed, Succeeded, server-resolu"/>
            <wp:cNvGraphicFramePr>
              <a:graphicFrameLocks noChangeAspect="1"/>
            </wp:cNvGraphicFramePr>
            <a:graphic>
              <a:graphicData uri="http://schemas.openxmlformats.org/drawingml/2006/picture">
                <pic:pic>
                  <pic:nvPicPr>
                    <pic:cNvPr id="0" name="mutation_state.png"/>
                    <pic:cNvPicPr/>
                  </pic:nvPicPr>
                  <pic:blipFill>
                    <a:blip r:embed="rId16"/>
                    <a:stretch>
                      <a:fillRect/>
                    </a:stretch>
                  </pic:blipFill>
                  <pic:spPr>
                    <a:xfrm>
                      <a:off x="0" y="0"/>
                      <a:ext cx="5166360" cy="3685337"/>
                    </a:xfrm>
                    <a:prstGeom prst="rect"/>
                  </pic:spPr>
                </pic:pic>
              </a:graphicData>
            </a:graphic>
          </wp:inline>
        </w:drawing>
      </w:r>
    </w:p>
    <w:p>
      <w:pPr>
        <w:keepLines/>
        <w:spacing w:before="40" w:after="120"/>
        <w:jc w:val="center"/>
        <w:bidi w:val="0"/>
      </w:pPr>
      <w:r>
        <w:rPr>
          <w:rFonts w:ascii="Times New Roman" w:hAnsi="Times New Roman"/>
          <w:b w:val="0"/>
          <w:i/>
          <w:sz w:val="18"/>
          <w:rtl w:val="0"/>
          <w:lang w:val="en-US" w:eastAsia="en-US" w:bidi="en-US"/>
        </w:rPr>
        <w:t>Figure 7. Record mutation state-machine diagram.</w:t>
      </w:r>
    </w:p>
    <w:p>
      <w:pPr>
        <w:keepNext/>
        <w:spacing w:before="40" w:after="0"/>
        <w:jc w:val="center"/>
        <w:bidi w:val="0"/>
      </w:pPr>
      <w:r>
        <w:rPr>
          <w:rtl w:val="0"/>
          <w:lang w:val="en-US" w:eastAsia="en-US" w:bidi="en-US"/>
        </w:rPr>
        <w:drawing>
          <wp:inline xmlns:a="http://schemas.openxmlformats.org/drawingml/2006/main" xmlns:pic="http://schemas.openxmlformats.org/drawingml/2006/picture">
            <wp:extent cx="5989320" cy="3570556"/>
            <wp:docPr id="8" name="Picture 8" descr="SyncField component diagram showing Flutter presentation and services, SQLite and secure storage, REST API boundary, Node.js/Express backend services, and PostgreSQL." title="SyncField component diagram showing Flutter presentation and services, SQLite and secure storage, REST API boundary, Nod"/>
            <wp:cNvGraphicFramePr>
              <a:graphicFrameLocks noChangeAspect="1"/>
            </wp:cNvGraphicFramePr>
            <a:graphic>
              <a:graphicData uri="http://schemas.openxmlformats.org/drawingml/2006/picture">
                <pic:pic>
                  <pic:nvPicPr>
                    <pic:cNvPr id="0" name="component.png"/>
                    <pic:cNvPicPr/>
                  </pic:nvPicPr>
                  <pic:blipFill>
                    <a:blip r:embed="rId17"/>
                    <a:stretch>
                      <a:fillRect/>
                    </a:stretch>
                  </pic:blipFill>
                  <pic:spPr>
                    <a:xfrm>
                      <a:off x="0" y="0"/>
                      <a:ext cx="5989320" cy="3570556"/>
                    </a:xfrm>
                    <a:prstGeom prst="rect"/>
                  </pic:spPr>
                </pic:pic>
              </a:graphicData>
            </a:graphic>
          </wp:inline>
        </w:drawing>
      </w:r>
    </w:p>
    <w:p>
      <w:pPr>
        <w:keepLines/>
        <w:spacing w:before="40" w:after="120"/>
        <w:jc w:val="center"/>
        <w:bidi w:val="0"/>
      </w:pPr>
      <w:r>
        <w:rPr>
          <w:rFonts w:ascii="Times New Roman" w:hAnsi="Times New Roman"/>
          <w:b w:val="0"/>
          <w:i/>
          <w:sz w:val="18"/>
          <w:rtl w:val="0"/>
          <w:lang w:val="en-US" w:eastAsia="en-US" w:bidi="en-US"/>
        </w:rPr>
        <w:t>Figure 8. SyncField component diagram.</w:t>
      </w:r>
    </w:p>
    <w:p>
      <w:pPr>
        <w:keepNext/>
        <w:spacing w:before="40" w:after="0"/>
        <w:jc w:val="center"/>
        <w:bidi w:val="0"/>
      </w:pPr>
      <w:r>
        <w:rPr>
          <w:rtl w:val="0"/>
          <w:lang w:val="en-US" w:eastAsia="en-US" w:bidi="en-US"/>
        </w:rPr>
        <w:drawing>
          <wp:inline xmlns:a="http://schemas.openxmlformats.org/drawingml/2006/main" xmlns:pic="http://schemas.openxmlformats.org/drawingml/2006/picture">
            <wp:extent cx="6144768" cy="1814545"/>
            <wp:docPr id="9" name="Picture 9" descr="Core class diagram showing principal authentication, form, response, synchronization, mutation, service, repository, and API client classes and relationships." title="Core class diagram showing principal authentication, form, response, synchronization, mutation, service, repository, and"/>
            <wp:cNvGraphicFramePr>
              <a:graphicFrameLocks noChangeAspect="1"/>
            </wp:cNvGraphicFramePr>
            <a:graphic>
              <a:graphicData uri="http://schemas.openxmlformats.org/drawingml/2006/picture">
                <pic:pic>
                  <pic:nvPicPr>
                    <pic:cNvPr id="0" name="class.png"/>
                    <pic:cNvPicPr/>
                  </pic:nvPicPr>
                  <pic:blipFill>
                    <a:blip r:embed="rId18"/>
                    <a:stretch>
                      <a:fillRect/>
                    </a:stretch>
                  </pic:blipFill>
                  <pic:spPr>
                    <a:xfrm>
                      <a:off x="0" y="0"/>
                      <a:ext cx="6144768" cy="1814545"/>
                    </a:xfrm>
                    <a:prstGeom prst="rect"/>
                  </pic:spPr>
                </pic:pic>
              </a:graphicData>
            </a:graphic>
          </wp:inline>
        </w:drawing>
      </w:r>
    </w:p>
    <w:p>
      <w:pPr>
        <w:keepLines/>
        <w:spacing w:before="40" w:after="120"/>
        <w:jc w:val="center"/>
        <w:bidi w:val="0"/>
      </w:pPr>
      <w:r>
        <w:rPr>
          <w:rFonts w:ascii="Times New Roman" w:hAnsi="Times New Roman"/>
          <w:b w:val="0"/>
          <w:i/>
          <w:sz w:val="18"/>
          <w:rtl w:val="0"/>
          <w:lang w:val="en-US" w:eastAsia="en-US" w:bidi="en-US"/>
        </w:rPr>
        <w:t>Figure 9. Core class diagram.</w:t>
      </w:r>
    </w:p>
    <w:p>
      <w:pPr>
        <w:keepNext/>
        <w:pageBreakBefore/>
        <w:spacing w:before="40" w:after="0"/>
        <w:jc w:val="center"/>
        <w:bidi w:val="0"/>
      </w:pPr>
      <w:r>
        <w:rPr>
          <w:rtl w:val="0"/>
          <w:lang w:val="en-US" w:eastAsia="en-US" w:bidi="en-US"/>
        </w:rPr>
        <w:drawing>
          <wp:inline xmlns:a="http://schemas.openxmlformats.org/drawingml/2006/main" xmlns:pic="http://schemas.openxmlformats.org/drawingml/2006/picture">
            <wp:extent cx="5989320" cy="3234233"/>
            <wp:docPr id="10" name="Picture 10" descr="SyncField deployment diagram showing the Android mobile device, local SQLite and secure storage, trusted LAN HTTP test boundary, Windows 10 Node.js backend host, PostgreSQL, and backups." title="SyncField deployment diagram showing the Android mobile device, local SQLite and secure storage, trusted LAN HTTP test b"/>
            <wp:cNvGraphicFramePr>
              <a:graphicFrameLocks noChangeAspect="1"/>
            </wp:cNvGraphicFramePr>
            <a:graphic>
              <a:graphicData uri="http://schemas.openxmlformats.org/drawingml/2006/picture">
                <pic:pic>
                  <pic:nvPicPr>
                    <pic:cNvPr id="0" name="deployment.png"/>
                    <pic:cNvPicPr/>
                  </pic:nvPicPr>
                  <pic:blipFill>
                    <a:blip r:embed="rId19"/>
                    <a:stretch>
                      <a:fillRect/>
                    </a:stretch>
                  </pic:blipFill>
                  <pic:spPr>
                    <a:xfrm>
                      <a:off x="0" y="0"/>
                      <a:ext cx="5989320" cy="3234233"/>
                    </a:xfrm>
                    <a:prstGeom prst="rect"/>
                  </pic:spPr>
                </pic:pic>
              </a:graphicData>
            </a:graphic>
          </wp:inline>
        </w:drawing>
      </w:r>
    </w:p>
    <w:p>
      <w:pPr>
        <w:keepLines/>
        <w:spacing w:before="40" w:after="120"/>
        <w:jc w:val="center"/>
        <w:bidi w:val="0"/>
      </w:pPr>
      <w:r>
        <w:rPr>
          <w:rFonts w:ascii="Times New Roman" w:hAnsi="Times New Roman"/>
          <w:b w:val="0"/>
          <w:i/>
          <w:sz w:val="18"/>
          <w:rtl w:val="0"/>
          <w:lang w:val="en-US" w:eastAsia="en-US" w:bidi="en-US"/>
        </w:rPr>
        <w:t>Figure 10. SyncField deployment diagram for the validated test environment.</w:t>
      </w:r>
    </w:p>
    <w:p>
      <w:pPr>
        <w:spacing w:before="20" w:after="80" w:line="252" w:lineRule="auto"/>
        <w:jc w:val="both"/>
        <w:bidi w:val="0"/>
      </w:pPr>
      <w:r>
        <w:rPr>
          <w:rFonts w:ascii="Times New Roman" w:hAnsi="Times New Roman"/>
          <w:b w:val="0"/>
          <w:i w:val="0"/>
          <w:sz w:val="21"/>
          <w:rtl w:val="0"/>
          <w:lang w:val="en-US" w:eastAsia="en-US" w:bidi="en-US"/>
        </w:rPr>
        <w:t>Together, these diagrams show how offline persistence, explicit synchronization, authorization scope, idempotent operations, optimistic-version conflict handling, and the client-server deployment are connected within one implementable design.</w:t>
      </w:r>
    </w:p>
    <w:p>
      <w:pPr>
        <w:pStyle w:val="Heading1"/>
        <w:keepNext/>
        <w:spacing w:before="160" w:after="60"/>
        <w:jc w:val="left"/>
        <w:bidi w:val="0"/>
      </w:pPr>
      <w:r>
        <w:rPr>
          <w:rFonts w:ascii="Times New Roman" w:hAnsi="Times New Roman"/>
          <w:b/>
          <w:sz w:val="24"/>
          <w:rtl w:val="0"/>
          <w:lang w:val="en-US" w:eastAsia="en-US" w:bidi="en-US"/>
        </w:rPr>
        <w:t>4. Implementation Environment</w:t>
      </w:r>
    </w:p>
    <w:p>
      <w:pPr>
        <w:spacing w:after="80" w:line="252" w:lineRule="auto"/>
        <w:ind w:firstLine="283"/>
        <w:jc w:val="both"/>
        <w:bidi w:val="0"/>
      </w:pPr>
      <w:r>
        <w:rPr>
          <w:rFonts w:ascii="Times New Roman" w:hAnsi="Times New Roman"/>
          <w:b w:val="0"/>
          <w:i w:val="0"/>
          <w:sz w:val="21"/>
          <w:rtl w:val="0"/>
          <w:lang w:val="en-US" w:eastAsia="en-US" w:bidi="en-US"/>
        </w:rPr>
        <w:t>The evaluated prototype was built as a Flutter application for Android with a locally hosted REST backend. Table 2 summarizes the final environment recorded in the research. The device and software versions are reported to support reproducibility of the documented evaluation rather than to imply support for every Android or server configuration.</w:t>
      </w:r>
    </w:p>
    <w:tbl>
      <w:tblPr>
        <w:tblStyle w:val="TableGrid"/>
        <w:tblW w:type="auto" w:w="0"/>
        <w:jc w:val="center"/>
        <w:tblLayout w:type="autofit"/>
        <w:tblLook w:firstColumn="1" w:firstRow="1" w:lastColumn="0" w:lastRow="0" w:noHBand="0" w:noVBand="1" w:val="04A0"/>
        <w:bidiVisual w:val="0"/>
      </w:tblPr>
      <w:tblGrid>
        <w:gridCol w:w="3289"/>
        <w:gridCol w:w="3289"/>
        <w:gridCol w:w="3289"/>
      </w:tblGrid>
      <w:tr>
        <w:trPr>
          <w:cantSplit/>
          <w:tblHeader w:val="true"/>
        </w:trPr>
        <w:tc>
          <w:tcPr>
            <w:tcW w:type="dxa" w:w="1814"/>
            <w:shd w:fill="E7E6E6"/>
            <w:vAlign w:val="center"/>
            <w:tcMar>
              <w:top w:w="45" w:type="dxa"/>
              <w:start w:w="45" w:type="dxa"/>
              <w:bottom w:w="45" w:type="dxa"/>
              <w:end w:w="45" w:type="dxa"/>
            </w:tcMar>
          </w:tcPr>
          <w:p>
            <w:pPr>
              <w:spacing w:after="0" w:before="0" w:line="240" w:lineRule="auto"/>
              <w:jc w:val="left"/>
              <w:bidi w:val="0"/>
            </w:pPr>
            <w:r>
              <w:rPr>
                <w:rFonts w:ascii="Times New Roman" w:hAnsi="Times New Roman"/>
                <w:b/>
                <w:sz w:val="16"/>
                <w:rtl w:val="0"/>
                <w:lang w:val="en-US" w:eastAsia="en-US" w:bidi="en-US"/>
              </w:rPr>
            </w:r>
            <w:r>
              <w:rPr>
                <w:rFonts w:ascii="Times New Roman" w:hAnsi="Times New Roman"/>
                <w:b/>
                <w:sz w:val="16"/>
                <w:rtl w:val="0"/>
                <w:lang w:val="en-US" w:eastAsia="en-US" w:bidi="en-US"/>
              </w:rPr>
              <w:t>Component</w:t>
            </w:r>
          </w:p>
        </w:tc>
        <w:tc>
          <w:tcPr>
            <w:tcW w:type="dxa" w:w="3969"/>
            <w:shd w:fill="E7E6E6"/>
            <w:vAlign w:val="center"/>
            <w:tcMar>
              <w:top w:w="45" w:type="dxa"/>
              <w:start w:w="45" w:type="dxa"/>
              <w:bottom w:w="45" w:type="dxa"/>
              <w:end w:w="45" w:type="dxa"/>
            </w:tcMar>
          </w:tcPr>
          <w:p>
            <w:pPr>
              <w:spacing w:after="0" w:before="0" w:line="240" w:lineRule="auto"/>
              <w:jc w:val="left"/>
              <w:bidi w:val="0"/>
            </w:pPr>
            <w:r>
              <w:rPr>
                <w:rFonts w:ascii="Times New Roman" w:hAnsi="Times New Roman"/>
                <w:b/>
                <w:sz w:val="16"/>
                <w:rtl w:val="0"/>
                <w:lang w:val="en-US" w:eastAsia="en-US" w:bidi="en-US"/>
              </w:rPr>
            </w:r>
            <w:r>
              <w:rPr>
                <w:rFonts w:ascii="Times New Roman" w:hAnsi="Times New Roman"/>
                <w:b/>
                <w:sz w:val="16"/>
                <w:rtl w:val="0"/>
                <w:lang w:val="en-US" w:eastAsia="en-US" w:bidi="en-US"/>
              </w:rPr>
              <w:t>Configuration</w:t>
            </w:r>
          </w:p>
        </w:tc>
        <w:tc>
          <w:tcPr>
            <w:tcW w:type="dxa" w:w="3742"/>
            <w:shd w:fill="E7E6E6"/>
            <w:vAlign w:val="center"/>
            <w:tcMar>
              <w:top w:w="45" w:type="dxa"/>
              <w:start w:w="45" w:type="dxa"/>
              <w:bottom w:w="45" w:type="dxa"/>
              <w:end w:w="45" w:type="dxa"/>
            </w:tcMar>
          </w:tcPr>
          <w:p>
            <w:pPr>
              <w:spacing w:after="0" w:before="0" w:line="240" w:lineRule="auto"/>
              <w:jc w:val="left"/>
              <w:bidi w:val="0"/>
            </w:pPr>
            <w:r>
              <w:rPr>
                <w:rFonts w:ascii="Times New Roman" w:hAnsi="Times New Roman"/>
                <w:b/>
                <w:sz w:val="16"/>
                <w:rtl w:val="0"/>
                <w:lang w:val="en-US" w:eastAsia="en-US" w:bidi="en-US"/>
              </w:rPr>
            </w:r>
            <w:r>
              <w:rPr>
                <w:rFonts w:ascii="Times New Roman" w:hAnsi="Times New Roman"/>
                <w:b/>
                <w:sz w:val="16"/>
                <w:rtl w:val="0"/>
                <w:lang w:val="en-US" w:eastAsia="en-US" w:bidi="en-US"/>
              </w:rPr>
              <w:t>Evaluation role</w:t>
            </w:r>
          </w:p>
        </w:tc>
      </w:tr>
      <w:tr>
        <w:trPr>
          <w:cantSplit/>
        </w:trPr>
        <w:tc>
          <w:tcPr>
            <w:tcW w:type="dxa" w:w="1814"/>
            <w:vAlign w:val="center"/>
            <w:tcMar>
              <w:top w:w="45" w:type="dxa"/>
              <w:start w:w="45" w:type="dxa"/>
              <w:bottom w:w="45" w:type="dxa"/>
              <w:end w:w="45"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Mobile client</w:t>
            </w:r>
          </w:p>
        </w:tc>
        <w:tc>
          <w:tcPr>
            <w:tcW w:type="dxa" w:w="3969"/>
            <w:vAlign w:val="center"/>
            <w:tcMar>
              <w:top w:w="45" w:type="dxa"/>
              <w:start w:w="45" w:type="dxa"/>
              <w:bottom w:w="45" w:type="dxa"/>
              <w:end w:w="45"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Redmi 10C; Android 13; MIUI Global 14.0.9</w:t>
            </w:r>
          </w:p>
        </w:tc>
        <w:tc>
          <w:tcPr>
            <w:tcW w:type="dxa" w:w="3742"/>
            <w:vAlign w:val="center"/>
            <w:tcMar>
              <w:top w:w="45" w:type="dxa"/>
              <w:start w:w="45" w:type="dxa"/>
              <w:bottom w:w="45" w:type="dxa"/>
              <w:end w:w="45"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Real-device functional, interface, offline, and synchronization testing</w:t>
            </w:r>
          </w:p>
        </w:tc>
      </w:tr>
      <w:tr>
        <w:trPr>
          <w:cantSplit/>
        </w:trPr>
        <w:tc>
          <w:tcPr>
            <w:tcW w:type="dxa" w:w="1814"/>
            <w:vAlign w:val="center"/>
            <w:tcMar>
              <w:top w:w="45" w:type="dxa"/>
              <w:start w:w="45" w:type="dxa"/>
              <w:bottom w:w="45" w:type="dxa"/>
              <w:end w:w="45"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Application</w:t>
            </w:r>
          </w:p>
        </w:tc>
        <w:tc>
          <w:tcPr>
            <w:tcW w:type="dxa" w:w="3969"/>
            <w:vAlign w:val="center"/>
            <w:tcMar>
              <w:top w:w="45" w:type="dxa"/>
              <w:start w:w="45" w:type="dxa"/>
              <w:bottom w:w="45" w:type="dxa"/>
              <w:end w:w="45"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Debug APK (app-debug.apk), version 1.0.0+1</w:t>
            </w:r>
          </w:p>
        </w:tc>
        <w:tc>
          <w:tcPr>
            <w:tcW w:type="dxa" w:w="3742"/>
            <w:vAlign w:val="center"/>
            <w:tcMar>
              <w:top w:w="45" w:type="dxa"/>
              <w:start w:w="45" w:type="dxa"/>
              <w:bottom w:w="45" w:type="dxa"/>
              <w:end w:w="45"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Evaluated prototype build</w:t>
            </w:r>
          </w:p>
        </w:tc>
      </w:tr>
      <w:tr>
        <w:trPr>
          <w:cantSplit/>
        </w:trPr>
        <w:tc>
          <w:tcPr>
            <w:tcW w:type="dxa" w:w="1814"/>
            <w:vAlign w:val="center"/>
            <w:tcMar>
              <w:top w:w="45" w:type="dxa"/>
              <w:start w:w="45" w:type="dxa"/>
              <w:bottom w:w="45" w:type="dxa"/>
              <w:end w:w="45"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Flutter / Dart</w:t>
            </w:r>
          </w:p>
        </w:tc>
        <w:tc>
          <w:tcPr>
            <w:tcW w:type="dxa" w:w="3969"/>
            <w:vAlign w:val="center"/>
            <w:tcMar>
              <w:top w:w="45" w:type="dxa"/>
              <w:start w:w="45" w:type="dxa"/>
              <w:bottom w:w="45" w:type="dxa"/>
              <w:end w:w="45"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Flutter 3.44.8 stable; Dart 3.12.2</w:t>
            </w:r>
          </w:p>
        </w:tc>
        <w:tc>
          <w:tcPr>
            <w:tcW w:type="dxa" w:w="3742"/>
            <w:vAlign w:val="center"/>
            <w:tcMar>
              <w:top w:w="45" w:type="dxa"/>
              <w:start w:w="45" w:type="dxa"/>
              <w:bottom w:w="45" w:type="dxa"/>
              <w:end w:w="45"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Mobile SDK and runtime</w:t>
            </w:r>
          </w:p>
        </w:tc>
      </w:tr>
      <w:tr>
        <w:trPr>
          <w:cantSplit/>
        </w:trPr>
        <w:tc>
          <w:tcPr>
            <w:tcW w:type="dxa" w:w="1814"/>
            <w:vAlign w:val="center"/>
            <w:tcMar>
              <w:top w:w="45" w:type="dxa"/>
              <w:start w:w="45" w:type="dxa"/>
              <w:bottom w:w="45" w:type="dxa"/>
              <w:end w:w="45"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Local database</w:t>
            </w:r>
          </w:p>
        </w:tc>
        <w:tc>
          <w:tcPr>
            <w:tcW w:type="dxa" w:w="3969"/>
            <w:vAlign w:val="center"/>
            <w:tcMar>
              <w:top w:w="45" w:type="dxa"/>
              <w:start w:w="45" w:type="dxa"/>
              <w:bottom w:w="45" w:type="dxa"/>
              <w:end w:w="45"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SQLite via sqflite 2.4.2+1; schema version 8</w:t>
            </w:r>
          </w:p>
        </w:tc>
        <w:tc>
          <w:tcPr>
            <w:tcW w:type="dxa" w:w="3742"/>
            <w:vAlign w:val="center"/>
            <w:tcMar>
              <w:top w:w="45" w:type="dxa"/>
              <w:start w:w="45" w:type="dxa"/>
              <w:bottom w:w="45" w:type="dxa"/>
              <w:end w:w="45"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Offline persistence and migration behavior</w:t>
            </w:r>
          </w:p>
        </w:tc>
      </w:tr>
      <w:tr>
        <w:trPr>
          <w:cantSplit/>
        </w:trPr>
        <w:tc>
          <w:tcPr>
            <w:tcW w:type="dxa" w:w="1814"/>
            <w:vAlign w:val="center"/>
            <w:tcMar>
              <w:top w:w="45" w:type="dxa"/>
              <w:start w:w="45" w:type="dxa"/>
              <w:bottom w:w="45" w:type="dxa"/>
              <w:end w:w="45"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Secure storage</w:t>
            </w:r>
          </w:p>
        </w:tc>
        <w:tc>
          <w:tcPr>
            <w:tcW w:type="dxa" w:w="3969"/>
            <w:vAlign w:val="center"/>
            <w:tcMar>
              <w:top w:w="45" w:type="dxa"/>
              <w:start w:w="45" w:type="dxa"/>
              <w:bottom w:w="45" w:type="dxa"/>
              <w:end w:w="45"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flutter_secure_storage 10.3.1</w:t>
            </w:r>
          </w:p>
        </w:tc>
        <w:tc>
          <w:tcPr>
            <w:tcW w:type="dxa" w:w="3742"/>
            <w:vAlign w:val="center"/>
            <w:tcMar>
              <w:top w:w="45" w:type="dxa"/>
              <w:start w:w="45" w:type="dxa"/>
              <w:bottom w:w="45" w:type="dxa"/>
              <w:end w:w="45"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Session and token storage</w:t>
            </w:r>
          </w:p>
        </w:tc>
      </w:tr>
      <w:tr>
        <w:trPr>
          <w:cantSplit/>
        </w:trPr>
        <w:tc>
          <w:tcPr>
            <w:tcW w:type="dxa" w:w="1814"/>
            <w:vAlign w:val="center"/>
            <w:tcMar>
              <w:top w:w="45" w:type="dxa"/>
              <w:start w:w="45" w:type="dxa"/>
              <w:bottom w:w="45" w:type="dxa"/>
              <w:end w:w="45"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Backend</w:t>
            </w:r>
          </w:p>
        </w:tc>
        <w:tc>
          <w:tcPr>
            <w:tcW w:type="dxa" w:w="3969"/>
            <w:vAlign w:val="center"/>
            <w:tcMar>
              <w:top w:w="45" w:type="dxa"/>
              <w:start w:w="45" w:type="dxa"/>
              <w:bottom w:w="45" w:type="dxa"/>
              <w:end w:w="45"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Node.js 24.13.0; Express.js 5.2.1; port 3000</w:t>
            </w:r>
          </w:p>
        </w:tc>
        <w:tc>
          <w:tcPr>
            <w:tcW w:type="dxa" w:w="3742"/>
            <w:vAlign w:val="center"/>
            <w:tcMar>
              <w:top w:w="45" w:type="dxa"/>
              <w:start w:w="45" w:type="dxa"/>
              <w:bottom w:w="45" w:type="dxa"/>
              <w:end w:w="45"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REST API and business logic</w:t>
            </w:r>
          </w:p>
        </w:tc>
      </w:tr>
      <w:tr>
        <w:trPr>
          <w:cantSplit/>
        </w:trPr>
        <w:tc>
          <w:tcPr>
            <w:tcW w:type="dxa" w:w="1814"/>
            <w:vAlign w:val="center"/>
            <w:tcMar>
              <w:top w:w="45" w:type="dxa"/>
              <w:start w:w="45" w:type="dxa"/>
              <w:bottom w:w="45" w:type="dxa"/>
              <w:end w:w="45"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Central database</w:t>
            </w:r>
          </w:p>
        </w:tc>
        <w:tc>
          <w:tcPr>
            <w:tcW w:type="dxa" w:w="3969"/>
            <w:vAlign w:val="center"/>
            <w:tcMar>
              <w:top w:w="45" w:type="dxa"/>
              <w:start w:w="45" w:type="dxa"/>
              <w:bottom w:w="45" w:type="dxa"/>
              <w:end w:w="45"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PostgreSQL 18.4, 64-bit Windows</w:t>
            </w:r>
          </w:p>
        </w:tc>
        <w:tc>
          <w:tcPr>
            <w:tcW w:type="dxa" w:w="3742"/>
            <w:vAlign w:val="center"/>
            <w:tcMar>
              <w:top w:w="45" w:type="dxa"/>
              <w:start w:w="45" w:type="dxa"/>
              <w:bottom w:w="45" w:type="dxa"/>
              <w:end w:w="45"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Authoritative central storage</w:t>
            </w:r>
          </w:p>
        </w:tc>
      </w:tr>
      <w:tr>
        <w:trPr>
          <w:cantSplit/>
        </w:trPr>
        <w:tc>
          <w:tcPr>
            <w:tcW w:type="dxa" w:w="1814"/>
            <w:vAlign w:val="center"/>
            <w:tcMar>
              <w:top w:w="45" w:type="dxa"/>
              <w:start w:w="45" w:type="dxa"/>
              <w:bottom w:w="45" w:type="dxa"/>
              <w:end w:w="45"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Host / network</w:t>
            </w:r>
          </w:p>
        </w:tc>
        <w:tc>
          <w:tcPr>
            <w:tcW w:type="dxa" w:w="3969"/>
            <w:vAlign w:val="center"/>
            <w:tcMar>
              <w:top w:w="45" w:type="dxa"/>
              <w:start w:w="45" w:type="dxa"/>
              <w:bottom w:w="45" w:type="dxa"/>
              <w:end w:w="45"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Windows 10 laptop; Wi-Fi/local LAN via Honor X9d hotspot</w:t>
            </w:r>
          </w:p>
        </w:tc>
        <w:tc>
          <w:tcPr>
            <w:tcW w:type="dxa" w:w="3742"/>
            <w:vAlign w:val="center"/>
            <w:tcMar>
              <w:top w:w="45" w:type="dxa"/>
              <w:start w:w="45" w:type="dxa"/>
              <w:bottom w:w="45" w:type="dxa"/>
              <w:end w:w="45"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Connected, disconnected, and server-unreachable conditions</w:t>
            </w:r>
          </w:p>
        </w:tc>
      </w:tr>
    </w:tbl>
    <w:p>
      <w:pPr>
        <w:spacing w:after="120" w:before="40"/>
        <w:jc w:val="center"/>
        <w:keepLines/>
        <w:bidi w:val="0"/>
      </w:pPr>
      <w:r>
        <w:rPr>
          <w:rFonts w:ascii="Times New Roman" w:hAnsi="Times New Roman"/>
          <w:b w:val="0"/>
          <w:i/>
          <w:sz w:val="18"/>
          <w:rtl w:val="0"/>
          <w:lang w:val="en-US" w:eastAsia="en-US" w:bidi="en-US"/>
        </w:rPr>
        <w:t>Table 2. Final prototype evaluation environment.</w:t>
      </w:r>
    </w:p>
    <w:p>
      <w:pPr>
        <w:pStyle w:val="Heading1"/>
        <w:keepNext/>
        <w:spacing w:before="160" w:after="60"/>
        <w:jc w:val="left"/>
        <w:bidi w:val="0"/>
      </w:pPr>
      <w:r>
        <w:rPr>
          <w:rFonts w:ascii="Times New Roman" w:hAnsi="Times New Roman"/>
          <w:b/>
          <w:sz w:val="24"/>
          <w:rtl w:val="0"/>
          <w:lang w:val="en-US" w:eastAsia="en-US" w:bidi="en-US"/>
        </w:rPr>
        <w:t>5. Evaluation</w:t>
      </w:r>
    </w:p>
    <w:p>
      <w:pPr>
        <w:pStyle w:val="Heading2"/>
        <w:keepNext/>
        <w:spacing w:before="100" w:after="60"/>
        <w:jc w:val="left"/>
        <w:bidi w:val="0"/>
      </w:pPr>
      <w:r>
        <w:rPr>
          <w:rFonts w:ascii="Times New Roman" w:hAnsi="Times New Roman"/>
          <w:b/>
          <w:sz w:val="22"/>
          <w:rtl w:val="0"/>
          <w:lang w:val="en-US" w:eastAsia="en-US" w:bidi="en-US"/>
        </w:rPr>
        <w:t>5.1 Test Design</w:t>
      </w:r>
    </w:p>
    <w:p>
      <w:pPr>
        <w:spacing w:after="80" w:line="252" w:lineRule="auto"/>
        <w:ind w:firstLine="283"/>
        <w:jc w:val="both"/>
        <w:bidi w:val="0"/>
      </w:pPr>
      <w:r>
        <w:rPr>
          <w:rFonts w:ascii="Times New Roman" w:hAnsi="Times New Roman"/>
          <w:b w:val="0"/>
          <w:i w:val="0"/>
          <w:sz w:val="21"/>
          <w:rtl w:val="0"/>
          <w:lang w:val="en-US" w:eastAsia="en-US" w:bidi="en-US"/>
        </w:rPr>
        <w:t>Each documented test case was linked to at least one system requirement. Evaluation covered unit and domain behavior, Flutter widgets and routing, integration among mobile repositories, REST services, and PostgreSQL, offline persistence and recovery after restart, authorization and scope enforcement, database and migration behavior, security and privacy controls, and interface inspection. The source research explicitly distinguishes functional verification from unmeasured claims: formal usability conclusions, broad load or concurrency claims, and production-scale performance metrics were not reported without retained raw observations.</w:t>
      </w:r>
    </w:p>
    <w:tbl>
      <w:tblPr>
        <w:tblStyle w:val="TableGrid"/>
        <w:tblW w:type="auto" w:w="0"/>
        <w:jc w:val="center"/>
        <w:tblLayout w:type="autofit"/>
        <w:tblLook w:firstColumn="1" w:firstRow="1" w:lastColumn="0" w:lastRow="0" w:noHBand="0" w:noVBand="1" w:val="04A0"/>
        <w:bidiVisual w:val="0"/>
      </w:tblPr>
      <w:tblGrid>
        <w:gridCol w:w="3289"/>
        <w:gridCol w:w="3289"/>
        <w:gridCol w:w="3289"/>
      </w:tblGrid>
      <w:tr>
        <w:trPr>
          <w:cantSplit/>
          <w:tblHeader w:val="true"/>
        </w:trPr>
        <w:tc>
          <w:tcPr>
            <w:tcW w:type="dxa" w:w="1984"/>
            <w:shd w:fill="E7E6E6"/>
            <w:vAlign w:val="center"/>
            <w:tcMar>
              <w:top w:w="80" w:type="dxa"/>
              <w:start w:w="80" w:type="dxa"/>
              <w:bottom w:w="80" w:type="dxa"/>
              <w:end w:w="80" w:type="dxa"/>
            </w:tcMar>
          </w:tcPr>
          <w:p>
            <w:pPr>
              <w:spacing w:before="0" w:after="0" w:line="240" w:lineRule="auto"/>
              <w:jc w:val="left"/>
              <w:bidi w:val="0"/>
            </w:pPr>
            <w:r>
              <w:rPr>
                <w:rFonts w:ascii="Times New Roman" w:hAnsi="Times New Roman"/>
                <w:b/>
                <w:sz w:val="16"/>
                <w:rtl w:val="0"/>
                <w:lang w:val="en-US" w:eastAsia="en-US" w:bidi="en-US"/>
              </w:rPr>
            </w:r>
            <w:r>
              <w:rPr>
                <w:rFonts w:ascii="Times New Roman" w:hAnsi="Times New Roman"/>
                <w:b/>
                <w:sz w:val="16"/>
                <w:rtl w:val="0"/>
                <w:lang w:val="en-US" w:eastAsia="en-US" w:bidi="en-US"/>
              </w:rPr>
              <w:t>Evaluation area</w:t>
            </w:r>
          </w:p>
        </w:tc>
        <w:tc>
          <w:tcPr>
            <w:tcW w:type="dxa" w:w="5783"/>
            <w:shd w:fill="E7E6E6"/>
            <w:vAlign w:val="center"/>
            <w:tcMar>
              <w:top w:w="80" w:type="dxa"/>
              <w:start w:w="80" w:type="dxa"/>
              <w:bottom w:w="80" w:type="dxa"/>
              <w:end w:w="80" w:type="dxa"/>
            </w:tcMar>
          </w:tcPr>
          <w:p>
            <w:pPr>
              <w:spacing w:before="0" w:after="0" w:line="240" w:lineRule="auto"/>
              <w:jc w:val="left"/>
              <w:bidi w:val="0"/>
            </w:pPr>
            <w:r>
              <w:rPr>
                <w:rFonts w:ascii="Times New Roman" w:hAnsi="Times New Roman"/>
                <w:b/>
                <w:sz w:val="16"/>
                <w:rtl w:val="0"/>
                <w:lang w:val="en-US" w:eastAsia="en-US" w:bidi="en-US"/>
              </w:rPr>
            </w:r>
            <w:r>
              <w:rPr>
                <w:rFonts w:ascii="Times New Roman" w:hAnsi="Times New Roman"/>
                <w:b/>
                <w:sz w:val="16"/>
                <w:rtl w:val="0"/>
                <w:lang w:val="en-US" w:eastAsia="en-US" w:bidi="en-US"/>
              </w:rPr>
              <w:t>Representative coverage</w:t>
            </w:r>
          </w:p>
        </w:tc>
        <w:tc>
          <w:tcPr>
            <w:tcW w:type="dxa" w:w="1757"/>
            <w:shd w:fill="E7E6E6"/>
            <w:vAlign w:val="center"/>
            <w:tcMar>
              <w:top w:w="80" w:type="dxa"/>
              <w:start w:w="80" w:type="dxa"/>
              <w:bottom w:w="80" w:type="dxa"/>
              <w:end w:w="80" w:type="dxa"/>
            </w:tcMar>
          </w:tcPr>
          <w:p>
            <w:pPr>
              <w:spacing w:before="0" w:after="0" w:line="240" w:lineRule="auto"/>
              <w:jc w:val="left"/>
              <w:bidi w:val="0"/>
            </w:pPr>
            <w:r>
              <w:rPr>
                <w:rFonts w:ascii="Times New Roman" w:hAnsi="Times New Roman"/>
                <w:b/>
                <w:sz w:val="16"/>
                <w:rtl w:val="0"/>
                <w:lang w:val="en-US" w:eastAsia="en-US" w:bidi="en-US"/>
              </w:rPr>
            </w:r>
            <w:r>
              <w:rPr>
                <w:rFonts w:ascii="Times New Roman" w:hAnsi="Times New Roman"/>
                <w:b/>
                <w:sz w:val="16"/>
                <w:rtl w:val="0"/>
                <w:lang w:val="en-US" w:eastAsia="en-US" w:bidi="en-US"/>
              </w:rPr>
              <w:t>Recorded outcome</w:t>
            </w:r>
          </w:p>
        </w:tc>
      </w:tr>
      <w:tr>
        <w:trPr>
          <w:cantSplit/>
        </w:trPr>
        <w:tc>
          <w:tcPr>
            <w:tcW w:type="dxa" w:w="1984"/>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Server configuration</w:t>
            </w:r>
          </w:p>
        </w:tc>
        <w:tc>
          <w:tcPr>
            <w:tcW w:type="dxa" w:w="5783"/>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Pre-login settings, validation, reachable/unreachable backend</w:t>
            </w:r>
          </w:p>
        </w:tc>
        <w:tc>
          <w:tcPr>
            <w:tcW w:type="dxa" w:w="1757"/>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Expected outcomes achieved</w:t>
            </w:r>
          </w:p>
        </w:tc>
      </w:tr>
      <w:tr>
        <w:trPr>
          <w:cantSplit/>
        </w:trPr>
        <w:tc>
          <w:tcPr>
            <w:tcW w:type="dxa" w:w="1984"/>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Authentication and sessions</w:t>
            </w:r>
          </w:p>
        </w:tc>
        <w:tc>
          <w:tcPr>
            <w:tcW w:type="dxa" w:w="5783"/>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Registration/login, invalid credentials, initial password, recovery, restoration, refresh, logout, revocation, inactive account</w:t>
            </w:r>
          </w:p>
        </w:tc>
        <w:tc>
          <w:tcPr>
            <w:tcW w:type="dxa" w:w="1757"/>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Expected outcomes achieved</w:t>
            </w:r>
          </w:p>
        </w:tc>
      </w:tr>
      <w:tr>
        <w:trPr>
          <w:cantSplit/>
        </w:trPr>
        <w:tc>
          <w:tcPr>
            <w:tcW w:type="dxa" w:w="1984"/>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Authorization and scope</w:t>
            </w:r>
          </w:p>
        </w:tc>
        <w:tc>
          <w:tcPr>
            <w:tcW w:type="dxa" w:w="5783"/>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User management, roles, form permissions, supervisor assignments/delegation, backend rejection of out-of-scope access</w:t>
            </w:r>
          </w:p>
        </w:tc>
        <w:tc>
          <w:tcPr>
            <w:tcW w:type="dxa" w:w="1757"/>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Expected outcomes achieved</w:t>
            </w:r>
          </w:p>
        </w:tc>
      </w:tr>
      <w:tr>
        <w:trPr>
          <w:cantSplit/>
        </w:trPr>
        <w:tc>
          <w:tcPr>
            <w:tcW w:type="dxa" w:w="1984"/>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Offline persistence</w:t>
            </w:r>
          </w:p>
        </w:tc>
        <w:tc>
          <w:tcPr>
            <w:tcW w:type="dxa" w:w="5783"/>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Offline form use, validation, local save, restart persistence, Pending Responses, SQLite schema/migration behavior</w:t>
            </w:r>
          </w:p>
        </w:tc>
        <w:tc>
          <w:tcPr>
            <w:tcW w:type="dxa" w:w="1757"/>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Expected outcomes achieved</w:t>
            </w:r>
          </w:p>
        </w:tc>
      </w:tr>
      <w:tr>
        <w:trPr>
          <w:cantSplit/>
        </w:trPr>
        <w:tc>
          <w:tcPr>
            <w:tcW w:type="dxa" w:w="1984"/>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Synchronization</w:t>
            </w:r>
          </w:p>
        </w:tc>
        <w:tc>
          <w:tcPr>
            <w:tcW w:type="dxa" w:w="5783"/>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Manual sync, progress, partial/failure retention, timeout, idempotent replay, duplicate prevention</w:t>
            </w:r>
          </w:p>
        </w:tc>
        <w:tc>
          <w:tcPr>
            <w:tcW w:type="dxa" w:w="1757"/>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Expected outcomes achieved</w:t>
            </w:r>
          </w:p>
        </w:tc>
      </w:tr>
      <w:tr>
        <w:trPr>
          <w:cantSplit/>
        </w:trPr>
        <w:tc>
          <w:tcPr>
            <w:tcW w:type="dxa" w:w="1984"/>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Record lifecycle</w:t>
            </w:r>
          </w:p>
        </w:tc>
        <w:tc>
          <w:tcPr>
            <w:tcW w:type="dxa" w:w="5783"/>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Queued update/delete/restore, optimistic versions, HTTP 409, Use Server, Keep Local/Rebase, history/audit</w:t>
            </w:r>
          </w:p>
        </w:tc>
        <w:tc>
          <w:tcPr>
            <w:tcW w:type="dxa" w:w="1757"/>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Expected outcomes achieved</w:t>
            </w:r>
          </w:p>
        </w:tc>
      </w:tr>
      <w:tr>
        <w:trPr>
          <w:cantSplit/>
        </w:trPr>
        <w:tc>
          <w:tcPr>
            <w:tcW w:type="dxa" w:w="1984"/>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Reports and localization</w:t>
            </w:r>
          </w:p>
        </w:tc>
        <w:tc>
          <w:tcPr>
            <w:tcW w:type="dxa" w:w="5783"/>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Role-scoped reports, attribution, Arabic-English direction, profile/settings, unified messages</w:t>
            </w:r>
          </w:p>
        </w:tc>
        <w:tc>
          <w:tcPr>
            <w:tcW w:type="dxa" w:w="1757"/>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Expected outcomes achieved</w:t>
            </w:r>
          </w:p>
        </w:tc>
      </w:tr>
      <w:tr>
        <w:trPr>
          <w:cantSplit/>
        </w:trPr>
        <w:tc>
          <w:tcPr>
            <w:tcW w:type="dxa" w:w="1984"/>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API/security/privacy</w:t>
            </w:r>
          </w:p>
        </w:tc>
        <w:tc>
          <w:tcPr>
            <w:tcW w:type="dxa" w:w="5783"/>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Status handling, authorization, invalid/expired sessions, safe errors/logs, absence of exposed secrets</w:t>
            </w:r>
          </w:p>
        </w:tc>
        <w:tc>
          <w:tcPr>
            <w:tcW w:type="dxa" w:w="1757"/>
            <w:vAlign w:val="center"/>
            <w:tcMar>
              <w:top w:w="80" w:type="dxa"/>
              <w:start w:w="80" w:type="dxa"/>
              <w:bottom w:w="80" w:type="dxa"/>
              <w:end w:w="80" w:type="dxa"/>
            </w:tcMar>
          </w:tcPr>
          <w:p>
            <w:pPr>
              <w:spacing w:after="0" w:line="240" w:lineRule="auto" w:before="0"/>
              <w:jc w:val="left"/>
              <w:bidi w:val="0"/>
            </w:pPr>
            <w:r>
              <w:rPr>
                <w:rFonts w:ascii="Times New Roman" w:hAnsi="Times New Roman"/>
                <w:sz w:val="16"/>
                <w:rtl w:val="0"/>
                <w:lang w:val="en-US" w:eastAsia="en-US" w:bidi="en-US"/>
              </w:rPr>
            </w:r>
            <w:r>
              <w:rPr>
                <w:rFonts w:ascii="Times New Roman" w:hAnsi="Times New Roman"/>
                <w:sz w:val="16"/>
                <w:rtl w:val="0"/>
                <w:lang w:val="en-US" w:eastAsia="en-US" w:bidi="en-US"/>
              </w:rPr>
              <w:t>Expected outcomes achieved</w:t>
            </w:r>
          </w:p>
        </w:tc>
      </w:tr>
    </w:tbl>
    <w:p>
      <w:pPr>
        <w:spacing w:after="120" w:before="40"/>
        <w:jc w:val="center"/>
        <w:keepLines/>
        <w:bidi w:val="0"/>
      </w:pPr>
      <w:r>
        <w:rPr>
          <w:rFonts w:ascii="Times New Roman" w:hAnsi="Times New Roman"/>
          <w:b w:val="0"/>
          <w:i/>
          <w:sz w:val="18"/>
          <w:rtl w:val="0"/>
          <w:lang w:val="en-US" w:eastAsia="en-US" w:bidi="en-US"/>
        </w:rPr>
        <w:t>Table 3. Summary of requirement-traceable evaluation areas.</w:t>
      </w:r>
    </w:p>
    <w:p>
      <w:pPr>
        <w:pStyle w:val="Heading2"/>
        <w:keepNext/>
        <w:spacing w:before="100" w:after="60"/>
        <w:jc w:val="left"/>
        <w:bidi w:val="0"/>
      </w:pPr>
      <w:r>
        <w:rPr>
          <w:rFonts w:ascii="Times New Roman" w:hAnsi="Times New Roman"/>
          <w:b/>
          <w:sz w:val="22"/>
          <w:rtl w:val="0"/>
          <w:lang w:val="en-US" w:eastAsia="en-US" w:bidi="en-US"/>
        </w:rPr>
        <w:t>5.2 Results</w:t>
      </w:r>
    </w:p>
    <w:p>
      <w:pPr>
        <w:spacing w:after="80" w:line="252" w:lineRule="auto"/>
        <w:ind w:firstLine="283"/>
        <w:jc w:val="both"/>
        <w:bidi w:val="0"/>
      </w:pPr>
      <w:r>
        <w:rPr>
          <w:rFonts w:ascii="Times New Roman" w:hAnsi="Times New Roman"/>
          <w:sz w:val="21"/>
          <w:rtl w:val="0"/>
          <w:lang w:val="en-US" w:eastAsia="en-US" w:bidi="en-US"/>
        </w:rPr>
        <w:t>The final documented matrix contained 92 functional and integration test cases. According to the recorded project outcomes, all 92 achieved their expected results, yielding a functional pass rate of 100% for the executed matrix. This figure should be interpreted as completion of the documented prototype test cases, not as a statistical estimate of reliability under all field conditions.</w:t>
      </w:r>
    </w:p>
    <w:p>
      <w:pPr>
        <w:spacing w:after="80" w:line="252" w:lineRule="auto"/>
        <w:ind w:firstLine="283"/>
        <w:jc w:val="both"/>
        <w:bidi w:val="0"/>
      </w:pPr>
      <w:r>
        <w:rPr>
          <w:rFonts w:ascii="Times New Roman" w:hAnsi="Times New Roman"/>
          <w:b w:val="0"/>
          <w:i w:val="0"/>
          <w:sz w:val="21"/>
          <w:rtl w:val="0"/>
          <w:lang w:val="en-US" w:eastAsia="en-US" w:bidi="en-US"/>
        </w:rPr>
        <w:t>Offline and local-persistence cases verified that authorized forms remained usable during server unavailability, invalid input was rejected, valid responses were committed locally, pending records survived application restart, and SQLite schema version 8 supported the tested workflow. Synchronization cases verified processing with a reachable backend, retention of work under unreachable and timeout conditions, prevention of overlapping operations, handling of partial outcomes, and safe idempotent replay using stable identifiers. Authentication and authorization cases verified internal login/session behavior, password workflows, account-status handling, role and form permissions, supervisor scope, and backend rejection of deliberate unauthorized or out-of-scope requests. Record-lifecycle tests exercised durable mutations, stale-version detection, explicit conflict handling, and the Use Server and Keep Local/Rebase resolution paths.</w:t>
      </w:r>
    </w:p>
    <w:p>
      <w:pPr>
        <w:spacing w:after="80" w:line="252" w:lineRule="auto"/>
        <w:ind w:firstLine="283"/>
        <w:jc w:val="both"/>
        <w:bidi w:val="0"/>
      </w:pPr>
      <w:r>
        <w:rPr>
          <w:rFonts w:ascii="Times New Roman" w:hAnsi="Times New Roman"/>
          <w:b w:val="0"/>
          <w:i w:val="0"/>
          <w:sz w:val="21"/>
          <w:rtl w:val="0"/>
          <w:lang w:val="en-US" w:eastAsia="en-US" w:bidi="en-US"/>
        </w:rPr>
        <w:t>Only the functional pass rate is reported quantitatively because the source research retained a documented denominator for the 92-case matrix. Response time, throughput, duplicate rate, offline-persistence rate, authorization-rejection rate, and conflict-resolution rate were intentionally omitted because the required raw sample counts were not retained.</w:t>
      </w:r>
    </w:p>
    <w:p>
      <w:pPr>
        <w:pStyle w:val="Heading1"/>
        <w:keepNext/>
        <w:spacing w:before="160" w:after="60"/>
        <w:jc w:val="left"/>
        <w:bidi w:val="0"/>
      </w:pPr>
      <w:r>
        <w:rPr>
          <w:rFonts w:ascii="Times New Roman" w:hAnsi="Times New Roman"/>
          <w:b/>
          <w:sz w:val="24"/>
          <w:rtl w:val="0"/>
          <w:lang w:val="en-US" w:eastAsia="en-US" w:bidi="en-US"/>
        </w:rPr>
        <w:t>6. Discussion</w:t>
      </w:r>
    </w:p>
    <w:p>
      <w:pPr>
        <w:spacing w:after="80" w:line="252" w:lineRule="auto"/>
        <w:ind w:firstLine="283"/>
        <w:jc w:val="both"/>
        <w:bidi w:val="0"/>
      </w:pPr>
      <w:r>
        <w:rPr>
          <w:rFonts w:ascii="Times New Roman" w:hAnsi="Times New Roman"/>
          <w:b w:val="0"/>
          <w:i w:val="0"/>
          <w:sz w:val="21"/>
          <w:rtl w:val="0"/>
          <w:lang w:val="en-US" w:eastAsia="en-US" w:bidi="en-US"/>
        </w:rPr>
        <w:t>The evaluation supports the central design premise that an offline-first mobile workflow can preserve structured fieldwork during connectivity loss while keeping synchronization visible and controlled. SQLite local persistence and the Pending Responses mechanism give users an explicit representation of work that has not yet received authoritative server confirmation. This addresses a common ambiguity in network-dependent workflows, where a timeout can leave the user uncertain whether a record was accepted.</w:t>
      </w:r>
    </w:p>
    <w:p>
      <w:pPr>
        <w:spacing w:after="80" w:line="252" w:lineRule="auto"/>
        <w:ind w:firstLine="283"/>
        <w:jc w:val="both"/>
        <w:bidi w:val="0"/>
      </w:pPr>
      <w:r>
        <w:rPr>
          <w:rFonts w:ascii="Times New Roman" w:hAnsi="Times New Roman"/>
          <w:b w:val="0"/>
          <w:i w:val="0"/>
          <w:sz w:val="21"/>
          <w:rtl w:val="0"/>
          <w:lang w:val="en-US" w:eastAsia="en-US" w:bidi="en-US"/>
        </w:rPr>
        <w:t>The system also demonstrates that offline-first behavior must extend beyond local saving. Stable client identifiers are required for retry safety; backend authorization is required because interface hiding alone is not a security boundary; durable mutation records are needed for changes to already synchronized records; and optimistic version checks are needed to avoid silent overwriting under concurrent updates. These mechanisms align with principles of distributed systems concerning partial failure, transaction integrity, and explicit conflict handling (Coulouris et al., 2012; Bernstein &amp; Newcomer, 2009; Kleppmann, 2017).</w:t>
      </w:r>
    </w:p>
    <w:p>
      <w:pPr>
        <w:spacing w:after="80" w:line="252" w:lineRule="auto"/>
        <w:ind w:firstLine="283"/>
        <w:jc w:val="both"/>
        <w:bidi w:val="0"/>
      </w:pPr>
      <w:r>
        <w:rPr>
          <w:rFonts w:ascii="Times New Roman" w:hAnsi="Times New Roman"/>
          <w:b w:val="0"/>
          <w:i w:val="0"/>
          <w:sz w:val="21"/>
          <w:rtl w:val="0"/>
          <w:lang w:val="en-US" w:eastAsia="en-US" w:bidi="en-US"/>
        </w:rPr>
        <w:t>Compared with related work that emphasizes individual aspects such as offline status, synchronization, queues, or general resilience, SyncField integrates those concerns with an organizational governance model. The resulting contribution is therefore architectural and applied: a field data workflow in which offline persistence, synchronization semantics, roles, form permissions, supervisor scope, record history, reporting, and bilingual interfaces are designed as parts of one system rather than independent features.</w:t>
      </w:r>
    </w:p>
    <w:p>
      <w:pPr>
        <w:pStyle w:val="Heading1"/>
        <w:keepNext/>
        <w:spacing w:before="160" w:after="60"/>
        <w:jc w:val="left"/>
        <w:bidi w:val="0"/>
      </w:pPr>
      <w:r>
        <w:rPr>
          <w:rFonts w:ascii="Times New Roman" w:hAnsi="Times New Roman"/>
          <w:b/>
          <w:sz w:val="24"/>
          <w:rtl w:val="0"/>
          <w:lang w:val="en-US" w:eastAsia="en-US" w:bidi="en-US"/>
        </w:rPr>
        <w:t>7. Limitations and Threats to Validity</w:t>
      </w:r>
    </w:p>
    <w:p>
      <w:pPr>
        <w:spacing w:after="80" w:line="252" w:lineRule="auto"/>
        <w:ind w:firstLine="283"/>
        <w:jc w:val="both"/>
        <w:bidi w:val="0"/>
      </w:pPr>
      <w:r>
        <w:rPr>
          <w:rFonts w:ascii="Times New Roman" w:hAnsi="Times New Roman"/>
          <w:b w:val="0"/>
          <w:i w:val="0"/>
          <w:sz w:val="21"/>
          <w:rtl w:val="0"/>
          <w:lang w:val="en-US" w:eastAsia="en-US" w:bidi="en-US"/>
        </w:rPr>
        <w:t>The reported findings are bounded by the prototype evaluation environment. First, verification focused on one Android device (Redmi 10C, Android 13) and a debug APK; broad device and platform coverage was not established. Second, synchronization was deliberately manual, so the results do not evaluate automatic background synchronization. Third, the backend and PostgreSQL database were hosted on a Windows 10 laptop within a trusted local network; production HTTPS, public-network deployment, centralized monitoring, backup and restore operations, and disaster recovery were not established.</w:t>
      </w:r>
    </w:p>
    <w:p>
      <w:pPr>
        <w:spacing w:after="80" w:line="252" w:lineRule="auto"/>
        <w:ind w:firstLine="283"/>
        <w:jc w:val="both"/>
        <w:bidi w:val="0"/>
      </w:pPr>
      <w:r>
        <w:rPr>
          <w:rFonts w:ascii="Times New Roman" w:hAnsi="Times New Roman"/>
          <w:sz w:val="21"/>
          <w:rtl w:val="0"/>
          <w:lang w:val="en-US" w:eastAsia="en-US" w:bidi="en-US"/>
        </w:rPr>
        <w:t>Fourth, the 92/92 result reflects the documented functional and integration matrix and should not be generalized to quantitative performance, scalability, concurrency, or long-duration reliability. The research did not retain sufficient raw measurements for response time, throughput, broad concurrent load, or formal statistical reliability analysis. Fifth, no formal participant-based usability study was conducted. Finally, full SQLite file encryption through SQLCipher, GPS capture, electronic signatures, an administrator form builder, and external social sign-in were outside the implemented scope.</w:t>
      </w:r>
    </w:p>
    <w:p>
      <w:pPr>
        <w:pStyle w:val="Heading1"/>
        <w:keepNext/>
        <w:spacing w:before="160" w:after="60"/>
        <w:jc w:val="left"/>
        <w:bidi w:val="0"/>
      </w:pPr>
      <w:r>
        <w:rPr>
          <w:rFonts w:ascii="Times New Roman" w:hAnsi="Times New Roman"/>
          <w:b/>
          <w:sz w:val="24"/>
          <w:rtl w:val="0"/>
          <w:lang w:val="en-US" w:eastAsia="en-US" w:bidi="en-US"/>
        </w:rPr>
        <w:t>8. Conclusion and Future Work</w:t>
      </w:r>
    </w:p>
    <w:p>
      <w:pPr>
        <w:spacing w:after="80" w:line="252" w:lineRule="auto"/>
        <w:ind w:firstLine="283"/>
        <w:jc w:val="both"/>
        <w:bidi w:val="0"/>
      </w:pPr>
      <w:r>
        <w:rPr>
          <w:rFonts w:ascii="Times New Roman" w:hAnsi="Times New Roman"/>
          <w:b w:val="0"/>
          <w:i w:val="0"/>
          <w:sz w:val="21"/>
          <w:rtl w:val="0"/>
          <w:lang w:val="en-US" w:eastAsia="en-US" w:bidi="en-US"/>
        </w:rPr>
        <w:t>This paper presented SyncField, an offline-first mobile data collection and synchronization system for low-connectivity environments. The implemented architecture combines Flutter/Dart, SQLite local persistence, secure session storage, a Node.js/Express.js REST backend, and PostgreSQL central storage. It supports rule-based validation, visible pending records, user-initiated synchronization, stable identifiers for retry safety, backend-enforced authorization and supervisor scope, durable mutations for synchronized records, explicit optimistic-version conflict handling, role-scoped reporting, and Arabic-English localization.</w:t>
      </w:r>
    </w:p>
    <w:p>
      <w:pPr>
        <w:spacing w:after="80" w:line="252" w:lineRule="auto"/>
        <w:ind w:firstLine="283"/>
        <w:jc w:val="both"/>
        <w:bidi w:val="0"/>
      </w:pPr>
      <w:r>
        <w:rPr>
          <w:rFonts w:ascii="Times New Roman" w:hAnsi="Times New Roman"/>
          <w:sz w:val="21"/>
          <w:rtl w:val="0"/>
          <w:lang w:val="en-US" w:eastAsia="en-US" w:bidi="en-US"/>
        </w:rPr>
        <w:t>The requirement-traceable prototype evaluation reported 92 of 92 expected functional and integration outcomes within the verified Android 13 and trusted local-network environment. These results support the feasibility of the integrated workflow but do not constitute production certification or broad performance validation. Future work should investigate production HTTPS deployment, stronger local-data protection such as SQLCipher, optional background synchronization with controlled retry policies, multi-device and long-duration testing, performance and scalability measurement, backup and disaster-recovery procedures, improved conflict-resolution interfaces, advanced dashboards, and additional field capabilities such as geospatial data and electronic signatures where appropriate.</w:t>
      </w:r>
    </w:p>
    <w:p>
      <w:pPr>
        <w:pStyle w:val="Heading1"/>
        <w:keepNext/>
        <w:spacing w:before="160" w:after="60"/>
        <w:jc w:val="left"/>
        <w:bidi w:val="0"/>
      </w:pPr>
      <w:r>
        <w:rPr>
          <w:rFonts w:ascii="Times New Roman" w:hAnsi="Times New Roman"/>
          <w:b/>
          <w:sz w:val="24"/>
          <w:rtl w:val="0"/>
          <w:lang w:val="en-US" w:eastAsia="en-US" w:bidi="en-US"/>
        </w:rPr>
        <w:t>Acknowledgments</w:t>
      </w:r>
    </w:p>
    <w:p>
      <w:pPr>
        <w:spacing w:after="80" w:line="252" w:lineRule="auto"/>
        <w:jc w:val="both"/>
        <w:bidi w:val="0"/>
      </w:pPr>
      <w:r>
        <w:rPr>
          <w:rFonts w:ascii="Times New Roman" w:hAnsi="Times New Roman"/>
          <w:b w:val="0"/>
          <w:i w:val="0"/>
          <w:sz w:val="21"/>
          <w:rtl w:val="0"/>
          <w:lang w:val="en-US" w:eastAsia="en-US" w:bidi="en-US"/>
        </w:rPr>
        <w:t>The authors acknowledge Yahya Othman, MSc, for academic supervision and guidance during the development of the graduation project and preparation of this manuscript.</w:t>
      </w:r>
    </w:p>
    <w:p>
      <w:pPr>
        <w:pStyle w:val="Heading1"/>
        <w:keepNext/>
        <w:spacing w:before="160" w:after="60"/>
        <w:jc w:val="left"/>
        <w:bidi w:val="0"/>
      </w:pPr>
      <w:r>
        <w:rPr>
          <w:rFonts w:ascii="Times New Roman" w:hAnsi="Times New Roman"/>
          <w:b/>
          <w:sz w:val="24"/>
          <w:rtl w:val="0"/>
          <w:lang w:val="en-US" w:eastAsia="en-US" w:bidi="en-US"/>
        </w:rPr>
        <w:t>Declarations for Journal Submission</w:t>
      </w:r>
    </w:p>
    <w:p>
      <w:pPr>
        <w:spacing w:after="80" w:line="252" w:lineRule="auto"/>
        <w:jc w:val="both"/>
        <w:bidi w:val="0"/>
      </w:pPr>
      <w:r>
        <w:rPr>
          <w:rFonts w:ascii="Times New Roman" w:hAnsi="Times New Roman"/>
          <w:b w:val="0"/>
          <w:i w:val="0"/>
          <w:sz w:val="21"/>
          <w:rtl w:val="0"/>
          <w:lang w:val="en-US" w:eastAsia="en-US" w:bidi="en-US"/>
        </w:rPr>
        <w:t>Author contributions: [To be completed before submission according to the target journal's authorship or CRediT policy.]</w:t>
      </w:r>
    </w:p>
    <w:p>
      <w:pPr>
        <w:spacing w:after="80" w:line="252" w:lineRule="auto"/>
        <w:jc w:val="both"/>
        <w:bidi w:val="0"/>
      </w:pPr>
      <w:r>
        <w:rPr>
          <w:rFonts w:ascii="Times New Roman" w:hAnsi="Times New Roman"/>
          <w:b w:val="0"/>
          <w:i w:val="0"/>
          <w:sz w:val="21"/>
          <w:rtl w:val="0"/>
          <w:lang w:val="en-US" w:eastAsia="en-US" w:bidi="en-US"/>
        </w:rPr>
        <w:t>Conflict of interest: [To be confirmed by all authors before submission.]</w:t>
      </w:r>
    </w:p>
    <w:p>
      <w:pPr>
        <w:spacing w:after="80" w:line="252" w:lineRule="auto"/>
        <w:jc w:val="both"/>
        <w:bidi w:val="0"/>
      </w:pPr>
      <w:r>
        <w:rPr>
          <w:rFonts w:ascii="Times New Roman" w:hAnsi="Times New Roman"/>
          <w:b w:val="0"/>
          <w:i w:val="0"/>
          <w:sz w:val="21"/>
          <w:rtl w:val="0"/>
          <w:lang w:val="en-US" w:eastAsia="en-US" w:bidi="en-US"/>
        </w:rPr>
        <w:t>Funding: [To be confirmed before submission; no funding statement was provided in the source thesis.]</w:t>
      </w:r>
    </w:p>
    <w:p>
      <w:pPr>
        <w:spacing w:after="80" w:line="252" w:lineRule="auto"/>
        <w:jc w:val="both"/>
        <w:bidi w:val="0"/>
      </w:pPr>
      <w:r>
        <w:rPr>
          <w:rFonts w:ascii="Times New Roman" w:hAnsi="Times New Roman"/>
          <w:b w:val="0"/>
          <w:i w:val="0"/>
          <w:sz w:val="21"/>
          <w:rtl w:val="0"/>
          <w:lang w:val="en-US" w:eastAsia="en-US" w:bidi="en-US"/>
        </w:rPr>
        <w:t>Ethics and human participants: This study reports software-system testing and did not include a formal participant-based usability study. Confirm the target journal's ethics or institutional-review requirements before submission.</w:t>
      </w:r>
    </w:p>
    <w:p>
      <w:pPr>
        <w:spacing w:after="80" w:line="252" w:lineRule="auto"/>
        <w:jc w:val="both"/>
        <w:bidi w:val="0"/>
      </w:pPr>
      <w:r>
        <w:rPr>
          <w:rFonts w:ascii="Times New Roman" w:hAnsi="Times New Roman"/>
          <w:b w:val="0"/>
          <w:i w:val="0"/>
          <w:sz w:val="21"/>
          <w:rtl w:val="0"/>
          <w:lang w:val="en-US" w:eastAsia="en-US" w:bidi="en-US"/>
        </w:rPr>
        <w:t>Data and evidence availability: The project evidence package contains the documented testing records. Add a public repository link only if the authors choose to release non-sensitive code or evidence.</w:t>
      </w:r>
    </w:p>
    <w:p>
      <w:pPr>
        <w:pStyle w:val="Heading1"/>
        <w:keepNext/>
        <w:spacing w:before="160" w:after="60"/>
        <w:jc w:val="left"/>
        <w:bidi w:val="0"/>
      </w:pPr>
      <w:r>
        <w:rPr>
          <w:rFonts w:ascii="Times New Roman" w:hAnsi="Times New Roman"/>
          <w:b/>
          <w:sz w:val="24"/>
          <w:rtl w:val="0"/>
          <w:lang w:val="en-US" w:eastAsia="en-US" w:bidi="en-US"/>
        </w:rPr>
        <w:t>References</w:t>
      </w:r>
    </w:p>
    <w:p>
      <w:pPr>
        <w:spacing w:after="30" w:line="240" w:lineRule="auto" w:before="0"/>
        <w:ind w:left="288" w:hanging="288"/>
        <w:bidi w:val="0"/>
        <w:jc w:val="left"/>
      </w:pPr>
      <w:r>
        <w:rPr>
          <w:rFonts w:ascii="Times New Roman" w:hAnsi="Times New Roman"/>
          <w:sz w:val="18"/>
          <w:rtl w:val="0"/>
          <w:lang w:val="en-US" w:eastAsia="en-US" w:bidi="en-US"/>
        </w:rPr>
        <w:t>Android Developers. (2024). Offline-first data layer guidance. https://developer.android.com/topic/architecture/data-layer/offline-first</w:t>
      </w:r>
    </w:p>
    <w:p>
      <w:pPr>
        <w:spacing w:after="30" w:line="240" w:lineRule="auto" w:before="0"/>
        <w:ind w:left="288" w:hanging="288"/>
        <w:bidi w:val="0"/>
        <w:jc w:val="left"/>
      </w:pPr>
      <w:r>
        <w:rPr>
          <w:rFonts w:ascii="Times New Roman" w:hAnsi="Times New Roman"/>
          <w:sz w:val="18"/>
          <w:rtl w:val="0"/>
          <w:lang w:val="en-US" w:eastAsia="en-US" w:bidi="en-US"/>
        </w:rPr>
        <w:t>Bernstein, P. A., &amp; Newcomer, E. (2009). Principles of transaction processing (2nd ed.). Morgan Kaufmann.</w:t>
      </w:r>
    </w:p>
    <w:p>
      <w:pPr>
        <w:spacing w:after="30" w:line="240" w:lineRule="auto" w:before="0"/>
        <w:ind w:left="288" w:hanging="288"/>
        <w:bidi w:val="0"/>
        <w:jc w:val="left"/>
      </w:pPr>
      <w:r>
        <w:rPr>
          <w:rFonts w:ascii="Times New Roman" w:hAnsi="Times New Roman"/>
          <w:sz w:val="18"/>
          <w:rtl w:val="0"/>
          <w:lang w:val="en-US" w:eastAsia="en-US" w:bidi="en-US"/>
        </w:rPr>
        <w:t>Coulouris, G., Dollimore, J., Kindberg, T., &amp; Blair, G. (2012). Distributed systems: Concepts and design (5th ed.). Addison-Wesley.</w:t>
      </w:r>
    </w:p>
    <w:p>
      <w:pPr>
        <w:spacing w:after="30" w:line="240" w:lineRule="auto" w:before="0"/>
        <w:ind w:left="288" w:hanging="288"/>
        <w:bidi w:val="0"/>
        <w:jc w:val="left"/>
      </w:pPr>
      <w:r>
        <w:rPr>
          <w:rFonts w:ascii="Times New Roman" w:hAnsi="Times New Roman"/>
          <w:sz w:val="18"/>
          <w:rtl w:val="0"/>
          <w:lang w:val="en-US" w:eastAsia="en-US" w:bidi="en-US"/>
        </w:rPr>
        <w:t>Duggirala, J. (2018). Data synchronization techniques in offline-first Android applications. International Journal of Science and Research, 7(3), 1968–1971. https://doi.org/10.21275/SR24724162525</w:t>
      </w:r>
    </w:p>
    <w:p>
      <w:pPr>
        <w:spacing w:after="30" w:line="240" w:lineRule="auto" w:before="0"/>
        <w:ind w:left="288" w:hanging="288"/>
        <w:bidi w:val="0"/>
        <w:jc w:val="left"/>
      </w:pPr>
      <w:r>
        <w:rPr>
          <w:rFonts w:ascii="Times New Roman" w:hAnsi="Times New Roman"/>
          <w:sz w:val="18"/>
          <w:rtl w:val="0"/>
          <w:lang w:val="en-US" w:eastAsia="en-US" w:bidi="en-US"/>
        </w:rPr>
        <w:t>Elmasri, R., &amp; Navathe, S. B. (2016). Fundamentals of database systems (7th ed.). Pearson.</w:t>
      </w:r>
    </w:p>
    <w:p>
      <w:pPr>
        <w:spacing w:after="30" w:line="240" w:lineRule="auto" w:before="0"/>
        <w:ind w:left="288" w:hanging="288"/>
        <w:bidi w:val="0"/>
        <w:jc w:val="left"/>
      </w:pPr>
      <w:r>
        <w:rPr>
          <w:rFonts w:ascii="Times New Roman" w:hAnsi="Times New Roman"/>
          <w:sz w:val="18"/>
          <w:rtl w:val="0"/>
          <w:lang w:val="en-US" w:eastAsia="en-US" w:bidi="en-US"/>
        </w:rPr>
        <w:t>Fernandes, S., Lucena, M. G., Pegurin, L. P., Blanco, J. Z., &amp; Lucrédio, D. (2022). OfflineManager: A lightweight approach for managing offline status in mobile applications. In Proceedings of the 16th Brazilian Symposium on Software Components, Architectures, and Reuse (pp. 30–39). https://doi.org/10.1145/3559712.3559717</w:t>
      </w:r>
    </w:p>
    <w:p>
      <w:pPr>
        <w:spacing w:after="30" w:line="240" w:lineRule="auto" w:before="0"/>
        <w:ind w:left="288" w:hanging="288"/>
        <w:bidi w:val="0"/>
        <w:jc w:val="left"/>
      </w:pPr>
      <w:r>
        <w:rPr>
          <w:rFonts w:ascii="Times New Roman" w:hAnsi="Times New Roman"/>
          <w:sz w:val="18"/>
          <w:rtl w:val="0"/>
          <w:lang w:val="en-US" w:eastAsia="en-US" w:bidi="en-US"/>
        </w:rPr>
        <w:t>Fielding, R. T. (2000). Architectural styles and the design of network-based software architectures (Doctoral dissertation, University of California, Irvine).</w:t>
      </w:r>
    </w:p>
    <w:p>
      <w:pPr>
        <w:spacing w:after="30" w:line="240" w:lineRule="auto" w:before="0"/>
        <w:ind w:left="288" w:hanging="288"/>
        <w:bidi w:val="0"/>
        <w:jc w:val="left"/>
      </w:pPr>
      <w:r>
        <w:rPr>
          <w:rFonts w:ascii="Times New Roman" w:hAnsi="Times New Roman"/>
          <w:sz w:val="18"/>
          <w:rtl w:val="0"/>
          <w:lang w:val="en-US" w:eastAsia="en-US" w:bidi="en-US"/>
        </w:rPr>
        <w:t>Flutter Documentation. (2024). Flutter documentation. https://docs.flutter.dev</w:t>
      </w:r>
    </w:p>
    <w:p>
      <w:pPr>
        <w:spacing w:after="30" w:line="240" w:lineRule="auto" w:before="0"/>
        <w:ind w:left="288" w:hanging="288"/>
        <w:bidi w:val="0"/>
        <w:jc w:val="left"/>
      </w:pPr>
      <w:r>
        <w:rPr>
          <w:rFonts w:ascii="Times New Roman" w:hAnsi="Times New Roman"/>
          <w:sz w:val="18"/>
          <w:rtl w:val="0"/>
          <w:lang w:val="en-US" w:eastAsia="en-US" w:bidi="en-US"/>
        </w:rPr>
        <w:t>Guda, V. R. (2025). Implementation of offline-first architectures for Android internet-based chat systems. International Journal of Multidisciplinary Research and Growth Evaluation, 6(3), 1200–1203. https://doi.org/10.54660/.IJMRGE.2025.6.3.1200-1202</w:t>
      </w:r>
    </w:p>
    <w:p>
      <w:pPr>
        <w:spacing w:after="30" w:line="240" w:lineRule="auto" w:before="0"/>
        <w:ind w:left="288" w:hanging="288"/>
        <w:bidi w:val="0"/>
        <w:jc w:val="left"/>
      </w:pPr>
      <w:r>
        <w:rPr>
          <w:rFonts w:ascii="Times New Roman" w:hAnsi="Times New Roman"/>
          <w:sz w:val="18"/>
          <w:rtl w:val="0"/>
          <w:lang w:val="en-US" w:eastAsia="en-US" w:bidi="en-US"/>
        </w:rPr>
        <w:t>Kleppmann, M. (2017). Designing data-intensive applications: The big ideas behind reliable, scalable, and maintainable systems. O’Reilly Media.</w:t>
      </w:r>
    </w:p>
    <w:p>
      <w:pPr>
        <w:spacing w:after="30" w:line="240" w:lineRule="auto" w:before="0"/>
        <w:ind w:left="288" w:hanging="288"/>
        <w:bidi w:val="0"/>
        <w:jc w:val="left"/>
      </w:pPr>
      <w:r>
        <w:rPr>
          <w:rFonts w:ascii="Times New Roman" w:hAnsi="Times New Roman"/>
          <w:sz w:val="18"/>
          <w:rtl w:val="0"/>
          <w:lang w:val="en-US" w:eastAsia="en-US" w:bidi="en-US"/>
        </w:rPr>
        <w:t>Node.js Documentation. (2024). Node.js documentation. https://nodejs.org/docs</w:t>
      </w:r>
    </w:p>
    <w:p>
      <w:pPr>
        <w:spacing w:after="30" w:line="240" w:lineRule="auto" w:before="0"/>
        <w:ind w:left="288" w:hanging="288"/>
        <w:bidi w:val="0"/>
        <w:jc w:val="left"/>
      </w:pPr>
      <w:r>
        <w:rPr>
          <w:rFonts w:ascii="Times New Roman" w:hAnsi="Times New Roman"/>
          <w:sz w:val="18"/>
          <w:rtl w:val="0"/>
          <w:lang w:val="en-US" w:eastAsia="en-US" w:bidi="en-US"/>
        </w:rPr>
        <w:t>Pothineni, S. H. (2024). Offline-first mobile architecture: Enhancing usability and resilience in mobile systems. Journal of Artificial Intelligence General Science, 7(1), 320–326. https://doi.org/10.60087/jaigs.v7i01.387</w:t>
      </w:r>
    </w:p>
    <w:p>
      <w:pPr>
        <w:spacing w:after="30" w:line="240" w:lineRule="auto" w:before="0"/>
        <w:ind w:left="288" w:hanging="288"/>
        <w:bidi w:val="0"/>
        <w:jc w:val="left"/>
      </w:pPr>
      <w:r>
        <w:rPr>
          <w:rFonts w:ascii="Times New Roman" w:hAnsi="Times New Roman"/>
          <w:sz w:val="18"/>
          <w:rtl w:val="0"/>
          <w:lang w:val="en-US" w:eastAsia="en-US" w:bidi="en-US"/>
        </w:rPr>
        <w:t>PostgreSQL Global Development Group. (2024). PostgreSQL documentation. https://www.postgresql.org/docs/</w:t>
      </w:r>
    </w:p>
    <w:p>
      <w:pPr>
        <w:spacing w:after="30" w:line="240" w:lineRule="auto" w:before="0"/>
        <w:ind w:left="288" w:hanging="288"/>
        <w:bidi w:val="0"/>
        <w:jc w:val="left"/>
      </w:pPr>
      <w:r>
        <w:rPr>
          <w:rFonts w:ascii="Times New Roman" w:hAnsi="Times New Roman"/>
          <w:sz w:val="18"/>
          <w:rtl w:val="0"/>
          <w:lang w:val="en-US" w:eastAsia="en-US" w:bidi="en-US"/>
        </w:rPr>
        <w:t>Pressman, R. S., &amp; Maxim, B. R. (2020). Software engineering: A practitioner’s approach (9th ed.). McGraw-Hill.</w:t>
      </w:r>
    </w:p>
    <w:p>
      <w:pPr>
        <w:spacing w:after="30" w:line="240" w:lineRule="auto" w:before="0"/>
        <w:ind w:left="288" w:hanging="288"/>
        <w:bidi w:val="0"/>
        <w:jc w:val="left"/>
      </w:pPr>
      <w:r>
        <w:rPr>
          <w:rFonts w:ascii="Times New Roman" w:hAnsi="Times New Roman"/>
          <w:sz w:val="18"/>
          <w:rtl w:val="0"/>
          <w:lang w:val="en-US" w:eastAsia="en-US" w:bidi="en-US"/>
        </w:rPr>
        <w:t>Schwaber, K., &amp; Sutherland, J. (2020). The Scrum guide: The definitive guide to Scrum. Scrum.org.</w:t>
      </w:r>
    </w:p>
    <w:p>
      <w:pPr>
        <w:spacing w:after="30" w:line="240" w:lineRule="auto" w:before="0"/>
        <w:ind w:left="288" w:hanging="288"/>
        <w:bidi w:val="0"/>
        <w:jc w:val="left"/>
      </w:pPr>
      <w:r>
        <w:rPr>
          <w:rFonts w:ascii="Times New Roman" w:hAnsi="Times New Roman"/>
          <w:sz w:val="18"/>
          <w:rtl w:val="0"/>
          <w:lang w:val="en-US" w:eastAsia="en-US" w:bidi="en-US"/>
        </w:rPr>
        <w:t>Sommerville, I. (2016). Software engineering (10th ed.). Pearson.</w:t>
      </w:r>
    </w:p>
    <w:p>
      <w:pPr>
        <w:spacing w:after="30" w:line="240" w:lineRule="auto" w:before="0"/>
        <w:ind w:left="288" w:hanging="288"/>
        <w:bidi w:val="0"/>
        <w:jc w:val="left"/>
      </w:pPr>
      <w:r>
        <w:rPr>
          <w:rFonts w:ascii="Times New Roman" w:hAnsi="Times New Roman"/>
          <w:sz w:val="18"/>
          <w:rtl w:val="0"/>
          <w:lang w:val="en-US" w:eastAsia="en-US" w:bidi="en-US"/>
        </w:rPr>
        <w:t>SQLite Consortium. (2024). SQLite documentation. https://www.sqlite.org/docs.html</w:t>
      </w:r>
    </w:p>
    <w:p>
      <w:pPr>
        <w:spacing w:after="30" w:line="240" w:lineRule="auto" w:before="0"/>
        <w:ind w:left="288" w:hanging="288"/>
        <w:bidi w:val="0"/>
        <w:jc w:val="left"/>
      </w:pPr>
      <w:r>
        <w:rPr>
          <w:rFonts w:ascii="Times New Roman" w:hAnsi="Times New Roman"/>
          <w:sz w:val="18"/>
          <w:rtl w:val="0"/>
          <w:lang w:val="en-US" w:eastAsia="en-US" w:bidi="en-US"/>
        </w:rPr>
        <w:t>Viscaino Quito, A., &amp; Serpa Andrade, L. (2022). Synchronization procedure for data collection in offline-online sessions. In Applied Human Factors and Ergonomics International (Vol. 28, pp. 182–186). AHFE International. https://doi.org/10.54941/ahfe1001461</w:t>
      </w:r>
    </w:p>
    <w:sectPr w:rsidR="00FC693F" w:rsidRPr="0006063C" w:rsidSect="00034616">
      <w:footerReference w:type="default" r:id="rId9"/>
      <w:headerReference w:type="default" r:id="rId20"/>
      <w:pgSz w:w="11906" w:h="16838"/>
      <w:pgMar w:top="1020" w:right="1020" w:bottom="1020" w:left="102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0"/>
    </w:pPr>
    <w:r>
      <w:rPr>
        <w:rFonts w:ascii="Times New Roman" w:hAnsi="Times New Roman"/>
        <w:sz w:val="18"/>
        <w:rtl w:val="0"/>
        <w:lang w:val="en-US" w:eastAsia="en-US" w:bidi="en-US"/>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en-US"/>
        <w:rtl w:val="0"/>
      </w:rPr>
    </w:rPrDefault>
    <w:pPrDefault>
      <w:pPr>
        <w:spacing w:after="200" w:line="276" w:lineRule="auto"/>
        <w:bidi w:val="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80"/>
      <w:jc w:val="both"/>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jc w:val="left"/>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160" w:after="60"/>
      <w:jc w:val="left"/>
      <w:outlineLvl w:val="1"/>
    </w:pPr>
    <w:rPr>
      <w:rFonts w:asciiTheme="majorHAnsi" w:eastAsiaTheme="majorEastAsia" w:hAnsiTheme="majorHAnsi" w:cstheme="majorBidi" w:ascii="Times New Roman" w:hAnsi="Times New Roman"/>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SyncField: Design and Evaluation of an Offline-First Mobile Data Collection and Synchronization System for Low-Connectivity Environments</dc:title>
  <dc:subject>Journal-ready scientific paper draft derived from the SyncField graduation research</dc:subject>
  <dc:creator>python-docx</dc:creator>
  <cp:keywords>offline-first, Flutter, SQLite, synchronization, field data collection, PostgreSQL</cp:keywords>
  <dc:description>generated by python-docx</dc:description>
  <cp:lastModifiedBy/>
  <cp:revision>1</cp:revision>
  <dcterms:created xsi:type="dcterms:W3CDTF">2013-12-23T23:15:00Z</dcterms:created>
  <dcterms:modified xsi:type="dcterms:W3CDTF">2013-12-23T23:15:00Z</dcterms:modified>
  <cp:category/>
</cp:coreProperties>
</file>