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rFonts w:ascii="Arial" w:cs="Arial" w:eastAsia="Arial" w:hAnsi="Arial"/>
          <w:b/>
          <w:bCs/>
          <w:sz w:val="40"/>
          <w:szCs w:val="40"/>
        </w:rPr>
        <w:t xml:space="preserve">طلب تغيير — CR-014</w:t>
      </w:r>
    </w:p>
    <w:p>
      <w:pPr>
        <w:bidi/>
        <w:spacing w:after="160"/>
        <w:jc w:val="right"/>
      </w:pPr>
      <w:r>
        <w:rPr>
          <w:rFonts w:ascii="Arial" w:cs="Arial" w:eastAsia="Arial" w:hAnsi="Arial"/>
          <w:b w:val="false"/>
          <w:bCs w:val="false"/>
          <w:sz w:val="26"/>
          <w:szCs w:val="26"/>
        </w:rPr>
        <w:t xml:space="preserve">عضوية Free دائمة لكل بائع</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F2F2F2" w:val="clear"/>
          </w:tcPr>
          <w:p>
            <w:pPr>
              <w:bidi/>
              <w:spacing w:after="0"/>
              <w:jc w:val="right"/>
            </w:pPr>
            <w:r>
              <w:rPr>
                <w:rFonts w:ascii="Arial" w:cs="Arial" w:eastAsia="Arial" w:hAnsi="Arial"/>
                <w:b/>
                <w:bCs/>
                <w:sz w:val="22"/>
                <w:szCs w:val="22"/>
              </w:rPr>
              <w:t xml:space="preserve">رقم الطلب</w:t>
            </w:r>
          </w:p>
        </w:tc>
        <w:tc>
          <w:tcPr>
            <w:tcW w:type="pct" w:w="75%"/>
          </w:tcPr>
          <w:p>
            <w:pPr>
              <w:bidi/>
              <w:spacing w:after="0"/>
              <w:jc w:val="right"/>
            </w:pPr>
            <w:r>
              <w:rPr>
                <w:rFonts w:ascii="Arial" w:cs="Arial" w:eastAsia="Arial" w:hAnsi="Arial"/>
                <w:sz w:val="22"/>
                <w:szCs w:val="22"/>
              </w:rPr>
              <w:t xml:space="preserve">CR-014</w:t>
            </w:r>
          </w:p>
        </w:tc>
      </w:tr>
      <w:tr>
        <w:tc>
          <w:tcPr>
            <w:tcW w:type="pct" w:w="25%"/>
            <w:shd w:fill="F2F2F2" w:val="clear"/>
          </w:tcPr>
          <w:p>
            <w:pPr>
              <w:bidi/>
              <w:spacing w:after="0"/>
              <w:jc w:val="right"/>
            </w:pPr>
            <w:r>
              <w:rPr>
                <w:rFonts w:ascii="Arial" w:cs="Arial" w:eastAsia="Arial" w:hAnsi="Arial"/>
                <w:b/>
                <w:bCs/>
                <w:sz w:val="22"/>
                <w:szCs w:val="22"/>
              </w:rPr>
              <w:t xml:space="preserve">العنوان</w:t>
            </w:r>
          </w:p>
        </w:tc>
        <w:tc>
          <w:tcPr>
            <w:tcW w:type="pct" w:w="75%"/>
          </w:tcPr>
          <w:p>
            <w:pPr>
              <w:bidi/>
              <w:spacing w:after="0"/>
              <w:jc w:val="right"/>
            </w:pPr>
            <w:r>
              <w:rPr>
                <w:rFonts w:ascii="Arial" w:cs="Arial" w:eastAsia="Arial" w:hAnsi="Arial"/>
                <w:sz w:val="22"/>
                <w:szCs w:val="22"/>
              </w:rPr>
              <w:t xml:space="preserve">عضوية Free دائمة لكل بائع (Seller Free Tier Baseline)</w:t>
            </w:r>
          </w:p>
        </w:tc>
      </w:tr>
      <w:tr>
        <w:tc>
          <w:tcPr>
            <w:tcW w:type="pct" w:w="25%"/>
            <w:shd w:fill="F2F2F2" w:val="clear"/>
          </w:tcPr>
          <w:p>
            <w:pPr>
              <w:bidi/>
              <w:spacing w:after="0"/>
              <w:jc w:val="right"/>
            </w:pPr>
            <w:r>
              <w:rPr>
                <w:rFonts w:ascii="Arial" w:cs="Arial" w:eastAsia="Arial" w:hAnsi="Arial"/>
                <w:b/>
                <w:bCs/>
                <w:sz w:val="22"/>
                <w:szCs w:val="22"/>
              </w:rPr>
              <w:t xml:space="preserve">الوحدات المتأثرة</w:t>
            </w:r>
          </w:p>
        </w:tc>
        <w:tc>
          <w:tcPr>
            <w:tcW w:type="pct" w:w="75%"/>
          </w:tcPr>
          <w:p>
            <w:pPr>
              <w:bidi/>
              <w:spacing w:after="0"/>
              <w:jc w:val="right"/>
            </w:pPr>
            <w:r>
              <w:rPr>
                <w:rFonts w:ascii="Arial" w:cs="Arial" w:eastAsia="Arial" w:hAnsi="Arial"/>
                <w:sz w:val="22"/>
                <w:szCs w:val="22"/>
              </w:rPr>
              <w:t xml:space="preserve">SUB (أساسي) — OpenAPI v1.9.0 — Migrations</w:t>
            </w:r>
          </w:p>
        </w:tc>
      </w:tr>
      <w:tr>
        <w:tc>
          <w:tcPr>
            <w:tcW w:type="pct" w:w="25%"/>
            <w:shd w:fill="F2F2F2" w:val="clear"/>
          </w:tcPr>
          <w:p>
            <w:pPr>
              <w:bidi/>
              <w:spacing w:after="0"/>
              <w:jc w:val="right"/>
            </w:pPr>
            <w:r>
              <w:rPr>
                <w:rFonts w:ascii="Arial" w:cs="Arial" w:eastAsia="Arial" w:hAnsi="Arial"/>
                <w:b/>
                <w:bCs/>
                <w:sz w:val="22"/>
                <w:szCs w:val="22"/>
              </w:rPr>
              <w:t xml:space="preserve">النوع</w:t>
            </w:r>
          </w:p>
        </w:tc>
        <w:tc>
          <w:tcPr>
            <w:tcW w:type="pct" w:w="75%"/>
          </w:tcPr>
          <w:p>
            <w:pPr>
              <w:bidi/>
              <w:spacing w:after="0"/>
              <w:jc w:val="right"/>
            </w:pPr>
            <w:r>
              <w:rPr>
                <w:rFonts w:ascii="Arial" w:cs="Arial" w:eastAsia="Arial" w:hAnsi="Arial"/>
                <w:sz w:val="22"/>
                <w:szCs w:val="22"/>
              </w:rPr>
              <w:t xml:space="preserve">توضيح/تثبيت سياسة + تعديل سلوكي محدود النطاق</w:t>
            </w:r>
          </w:p>
        </w:tc>
      </w:tr>
      <w:tr>
        <w:tc>
          <w:tcPr>
            <w:tcW w:type="pct" w:w="25%"/>
            <w:shd w:fill="F2F2F2" w:val="clear"/>
          </w:tcPr>
          <w:p>
            <w:pPr>
              <w:bidi/>
              <w:spacing w:after="0"/>
              <w:jc w:val="right"/>
            </w:pPr>
            <w:r>
              <w:rPr>
                <w:rFonts w:ascii="Arial" w:cs="Arial" w:eastAsia="Arial" w:hAnsi="Arial"/>
                <w:b/>
                <w:bCs/>
                <w:sz w:val="22"/>
                <w:szCs w:val="22"/>
              </w:rPr>
              <w:t xml:space="preserve">الحالة</w:t>
            </w:r>
          </w:p>
        </w:tc>
        <w:tc>
          <w:tcPr>
            <w:tcW w:type="pct" w:w="75%"/>
          </w:tcPr>
          <w:p>
            <w:pPr>
              <w:bidi/>
              <w:spacing w:after="0"/>
              <w:jc w:val="right"/>
            </w:pPr>
            <w:r>
              <w:rPr>
                <w:rFonts w:ascii="Arial" w:cs="Arial" w:eastAsia="Arial" w:hAnsi="Arial"/>
                <w:sz w:val="22"/>
                <w:szCs w:val="22"/>
              </w:rPr>
              <w:t xml:space="preserve">مُعتمَد ومُنفَّذ</w:t>
            </w:r>
          </w:p>
        </w:tc>
      </w:tr>
      <w:tr>
        <w:tc>
          <w:tcPr>
            <w:tcW w:type="pct" w:w="25%"/>
            <w:shd w:fill="F2F2F2" w:val="clear"/>
          </w:tcPr>
          <w:p>
            <w:pPr>
              <w:bidi/>
              <w:spacing w:after="0"/>
              <w:jc w:val="right"/>
            </w:pPr>
            <w:r>
              <w:rPr>
                <w:rFonts w:ascii="Arial" w:cs="Arial" w:eastAsia="Arial" w:hAnsi="Arial"/>
                <w:b/>
                <w:bCs/>
                <w:sz w:val="22"/>
                <w:szCs w:val="22"/>
              </w:rPr>
              <w:t xml:space="preserve">التاريخ</w:t>
            </w:r>
          </w:p>
        </w:tc>
        <w:tc>
          <w:tcPr>
            <w:tcW w:type="pct" w:w="75%"/>
          </w:tcPr>
          <w:p>
            <w:pPr>
              <w:bidi/>
              <w:spacing w:after="0"/>
              <w:jc w:val="right"/>
            </w:pPr>
            <w:r>
              <w:rPr>
                <w:rFonts w:ascii="Arial" w:cs="Arial" w:eastAsia="Arial" w:hAnsi="Arial"/>
                <w:sz w:val="22"/>
                <w:szCs w:val="22"/>
              </w:rPr>
              <w:t xml:space="preserve">2026-08-06</w:t>
            </w:r>
          </w:p>
        </w:tc>
      </w:tr>
      <w:tr>
        <w:tc>
          <w:tcPr>
            <w:tcW w:type="pct" w:w="25%"/>
            <w:shd w:fill="F2F2F2" w:val="clear"/>
          </w:tcPr>
          <w:p>
            <w:pPr>
              <w:bidi/>
              <w:spacing w:after="0"/>
              <w:jc w:val="right"/>
            </w:pPr>
            <w:r>
              <w:rPr>
                <w:rFonts w:ascii="Arial" w:cs="Arial" w:eastAsia="Arial" w:hAnsi="Arial"/>
                <w:b/>
                <w:bCs/>
                <w:sz w:val="22"/>
                <w:szCs w:val="22"/>
              </w:rPr>
              <w:t xml:space="preserve">مقدّم الطلب</w:t>
            </w:r>
          </w:p>
        </w:tc>
        <w:tc>
          <w:tcPr>
            <w:tcW w:type="pct" w:w="75%"/>
          </w:tcPr>
          <w:p>
            <w:pPr>
              <w:bidi/>
              <w:spacing w:after="0"/>
              <w:jc w:val="right"/>
            </w:pPr>
            <w:r>
              <w:rPr>
                <w:rFonts w:ascii="Arial" w:cs="Arial" w:eastAsia="Arial" w:hAnsi="Arial"/>
                <w:sz w:val="22"/>
                <w:szCs w:val="22"/>
              </w:rPr>
              <w:t xml:space="preserve">مالك المشروع (Mohamed)</w:t>
            </w:r>
          </w:p>
        </w:tc>
      </w:tr>
      <w:tr>
        <w:tc>
          <w:tcPr>
            <w:tcW w:type="pct" w:w="25%"/>
            <w:shd w:fill="F2F2F2" w:val="clear"/>
          </w:tcPr>
          <w:p>
            <w:pPr>
              <w:bidi/>
              <w:spacing w:after="0"/>
              <w:jc w:val="right"/>
            </w:pPr>
            <w:r>
              <w:rPr>
                <w:rFonts w:ascii="Arial" w:cs="Arial" w:eastAsia="Arial" w:hAnsi="Arial"/>
                <w:b/>
                <w:bCs/>
                <w:sz w:val="22"/>
                <w:szCs w:val="22"/>
              </w:rPr>
              <w:t xml:space="preserve">المنفِّذ</w:t>
            </w:r>
          </w:p>
        </w:tc>
        <w:tc>
          <w:tcPr>
            <w:tcW w:type="pct" w:w="75%"/>
          </w:tcPr>
          <w:p>
            <w:pPr>
              <w:bidi/>
              <w:spacing w:after="0"/>
              <w:jc w:val="right"/>
            </w:pPr>
            <w:r>
              <w:rPr>
                <w:rFonts w:ascii="Arial" w:cs="Arial" w:eastAsia="Arial" w:hAnsi="Arial"/>
                <w:sz w:val="22"/>
                <w:szCs w:val="22"/>
              </w:rPr>
              <w:t xml:space="preserve">القيادة الهندسية (Claude)</w:t>
            </w:r>
          </w:p>
        </w:tc>
      </w:tr>
    </w:tbl>
    <w:p/>
    <w:p>
      <w:pPr>
        <w:pStyle w:val="Heading1"/>
        <w:bidi/>
        <w:spacing w:after="200" w:before="300"/>
        <w:jc w:val="right"/>
      </w:pPr>
      <w:r>
        <w:rPr>
          <w:rFonts w:ascii="Arial" w:cs="Arial" w:eastAsia="Arial" w:hAnsi="Arial"/>
          <w:b/>
          <w:bCs/>
          <w:sz w:val="32"/>
          <w:szCs w:val="32"/>
        </w:rPr>
        <w:t xml:space="preserve">1. السياق</w:t>
      </w:r>
    </w:p>
    <w:p>
      <w:pPr>
        <w:bidi/>
        <w:spacing w:after="160"/>
        <w:jc w:val="right"/>
      </w:pPr>
      <w:r>
        <w:rPr>
          <w:rFonts w:ascii="Arial" w:cs="Arial" w:eastAsia="Arial" w:hAnsi="Arial"/>
          <w:sz w:val="22"/>
          <w:szCs w:val="22"/>
        </w:rPr>
        <w:t xml:space="preserve">الوضع السابق لخدمة الاشتراكات (SUB) لم يكن يُضمِّن مفهوم خطة "Free" نظامية؛ انتهاء اشتراك مدفوع كان يُنقل حالته إلى expired دون أي مسار عودة تلقائي لخطة بديلة. لا خدمة أخرى في الحزمة (Inventory، Orders، إلخ) كانت تستهلك حالة الاشتراك أصلًا لمنع أي إجراء — أي أن الحظر الفعلي لم يكن مطبَّقًا في الكود قط، لكن غياب مفهوم Free بحد ذاته كان فجوة حوكمية ومنتجية يلزم إغلاقها صراحة قبل الانتقال لمرحلة الواجهات ولوحات التحكم.</w:t>
      </w:r>
    </w:p>
    <w:p>
      <w:pPr>
        <w:pStyle w:val="Heading1"/>
        <w:bidi/>
        <w:spacing w:after="200" w:before="300"/>
        <w:jc w:val="right"/>
      </w:pPr>
      <w:r>
        <w:rPr>
          <w:rFonts w:ascii="Arial" w:cs="Arial" w:eastAsia="Arial" w:hAnsi="Arial"/>
          <w:b/>
          <w:bCs/>
          <w:sz w:val="32"/>
          <w:szCs w:val="32"/>
        </w:rPr>
        <w:t xml:space="preserve">2. القرار المعتمَد</w:t>
      </w:r>
    </w:p>
    <w:p>
      <w:pPr>
        <w:pStyle w:val="ListParagraph"/>
        <w:numPr>
          <w:ilvl w:val="0"/>
          <w:numId w:val="1"/>
        </w:numPr>
        <w:bidi/>
        <w:spacing w:after="100"/>
        <w:jc w:val="right"/>
      </w:pPr>
      <w:r>
        <w:rPr>
          <w:rFonts w:ascii="Arial" w:cs="Arial" w:eastAsia="Arial" w:hAnsi="Arial"/>
          <w:sz w:val="22"/>
          <w:szCs w:val="22"/>
        </w:rPr>
        <w:t xml:space="preserve">عضوية Free موجودة دائمًا لكل بائع، دون استثناء.</w:t>
      </w:r>
    </w:p>
    <w:p>
      <w:pPr>
        <w:pStyle w:val="ListParagraph"/>
        <w:numPr>
          <w:ilvl w:val="0"/>
          <w:numId w:val="1"/>
        </w:numPr>
        <w:bidi/>
        <w:spacing w:after="100"/>
        <w:jc w:val="right"/>
      </w:pPr>
      <w:r>
        <w:rPr>
          <w:rFonts w:ascii="Arial" w:cs="Arial" w:eastAsia="Arial" w:hAnsi="Arial"/>
          <w:sz w:val="22"/>
          <w:szCs w:val="22"/>
        </w:rPr>
        <w:t xml:space="preserve">انتهاء أي خطة مدفوعة يعيد البائع تلقائيًا إلى Free، لا إلى حالة معلَّقة أو مسدودة.</w:t>
      </w:r>
    </w:p>
    <w:p>
      <w:pPr>
        <w:pStyle w:val="ListParagraph"/>
        <w:numPr>
          <w:ilvl w:val="0"/>
          <w:numId w:val="1"/>
        </w:numPr>
        <w:bidi/>
        <w:spacing w:after="100"/>
        <w:jc w:val="right"/>
      </w:pPr>
      <w:r>
        <w:rPr>
          <w:rFonts w:ascii="Arial" w:cs="Arial" w:eastAsia="Arial" w:hAnsi="Arial"/>
          <w:sz w:val="22"/>
          <w:szCs w:val="22"/>
        </w:rPr>
        <w:t xml:space="preserve">البائع لا يُمنع من إنشاء مخزون أو استقبال طلبات لمجرّد انتهاء خطته المدفوعة.</w:t>
      </w:r>
    </w:p>
    <w:p>
      <w:pPr>
        <w:pStyle w:val="ListParagraph"/>
        <w:numPr>
          <w:ilvl w:val="0"/>
          <w:numId w:val="1"/>
        </w:numPr>
        <w:bidi/>
        <w:spacing w:after="100"/>
        <w:jc w:val="right"/>
      </w:pPr>
      <w:r>
        <w:rPr>
          <w:rFonts w:ascii="Arial" w:cs="Arial" w:eastAsia="Arial" w:hAnsi="Arial"/>
          <w:sz w:val="22"/>
          <w:szCs w:val="22"/>
        </w:rPr>
        <w:t xml:space="preserve">الفروق بين الخطط (المدفوعة مقابل Free) تكون في الحدود والمزايا، لا في إمكانية الاستخدام الأساسية.</w:t>
      </w:r>
    </w:p>
    <w:p>
      <w:pPr>
        <w:pStyle w:val="ListParagraph"/>
        <w:numPr>
          <w:ilvl w:val="0"/>
          <w:numId w:val="1"/>
        </w:numPr>
        <w:bidi/>
        <w:spacing w:after="100"/>
        <w:jc w:val="right"/>
      </w:pPr>
      <w:r>
        <w:rPr>
          <w:rFonts w:ascii="Arial" w:cs="Arial" w:eastAsia="Arial" w:hAnsi="Arial"/>
          <w:sz w:val="22"/>
          <w:szCs w:val="22"/>
        </w:rPr>
        <w:t xml:space="preserve">الرفض (403/409 وما شابه) لا يقع إلا عند تجاوز حدود الخطة الفعلية، أو عند إيقاف الحساب من الإدارة — وكلاهما خارج نطاق هذا القرار تحديدًا (انظر القسم 4).</w:t>
      </w:r>
    </w:p>
    <w:p>
      <w:pPr>
        <w:pStyle w:val="Heading1"/>
        <w:bidi/>
        <w:spacing w:after="200" w:before="300"/>
        <w:jc w:val="right"/>
      </w:pPr>
      <w:r>
        <w:rPr>
          <w:rFonts w:ascii="Arial" w:cs="Arial" w:eastAsia="Arial" w:hAnsi="Arial"/>
          <w:b/>
          <w:bCs/>
          <w:sz w:val="32"/>
          <w:szCs w:val="32"/>
        </w:rPr>
        <w:t xml:space="preserve">3. التنفيذ التقني</w:t>
      </w:r>
    </w:p>
    <w:p>
      <w:pPr>
        <w:pStyle w:val="Heading2"/>
        <w:bidi/>
        <w:spacing w:after="160" w:before="240"/>
        <w:jc w:val="right"/>
      </w:pPr>
      <w:r>
        <w:rPr>
          <w:rFonts w:ascii="Arial" w:cs="Arial" w:eastAsia="Arial" w:hAnsi="Arial"/>
          <w:b/>
          <w:bCs/>
          <w:sz w:val="26"/>
          <w:szCs w:val="26"/>
        </w:rPr>
        <w:t xml:space="preserve">3.1 قاعدة البيانات</w:t>
      </w:r>
    </w:p>
    <w:p>
      <w:pPr>
        <w:bidi/>
        <w:spacing w:after="160"/>
        <w:jc w:val="right"/>
      </w:pPr>
      <w:r>
        <w:rPr>
          <w:rFonts w:ascii="Arial" w:cs="Arial" w:eastAsia="Arial" w:hAnsi="Arial"/>
          <w:sz w:val="22"/>
          <w:szCs w:val="22"/>
        </w:rPr>
        <w:t xml:space="preserve">Migration 026 يضيف عمود is_free (Boolean) على sub.plans مع فهرس تفرّد جزئي يضمن خطة Free واحدة فقط نظاميًا، ويبذر قيمة مرجعية subscription_type=free ضمن ref.ref_values، ويبذر صف الخطة نفسها. كما يُزال قيد NOT NULL عن sub.seller_subscriptions.expires_at لأن خطة Free لا تنتهي بتعريفها.</w:t>
      </w:r>
    </w:p>
    <w:p>
      <w:pPr>
        <w:pStyle w:val="Heading2"/>
        <w:bidi/>
        <w:spacing w:after="160" w:before="240"/>
        <w:jc w:val="right"/>
      </w:pPr>
      <w:r>
        <w:rPr>
          <w:rFonts w:ascii="Arial" w:cs="Arial" w:eastAsia="Arial" w:hAnsi="Arial"/>
          <w:b/>
          <w:bCs/>
          <w:sz w:val="26"/>
          <w:szCs w:val="26"/>
        </w:rPr>
        <w:t xml:space="preserve">3.2 منطق الخدمة (sub_service.py)</w:t>
      </w:r>
    </w:p>
    <w:p>
      <w:pPr>
        <w:bidi/>
        <w:spacing w:after="160"/>
        <w:jc w:val="right"/>
      </w:pPr>
      <w:r>
        <w:rPr>
          <w:rFonts w:ascii="Arial" w:cs="Arial" w:eastAsia="Arial" w:hAnsi="Arial"/>
          <w:sz w:val="22"/>
          <w:szCs w:val="22"/>
        </w:rPr>
        <w:t xml:space="preserve">subscribe_seller: التعارض (SellerAlreadySubscribedError) يقع الآن فقط إن كان الاشتراك النشط الحالي على خطة مدفوعة غير منتهية؛ الاشتراك في خطة مدفوعة أثناء وجود Free نشطة يُعامَل كترقية مسموحة دومًا.</w:t>
      </w:r>
    </w:p>
    <w:p>
      <w:pPr>
        <w:bidi/>
        <w:spacing w:after="160"/>
        <w:jc w:val="right"/>
      </w:pPr>
      <w:r>
        <w:rPr>
          <w:rFonts w:ascii="Arial" w:cs="Arial" w:eastAsia="Arial" w:hAnsi="Arial"/>
          <w:sz w:val="22"/>
          <w:szCs w:val="22"/>
        </w:rPr>
        <w:t xml:space="preserve">apply_lazy_expiry: عند اكتشاف انتهاء خطة مدفوعة (REQ-SUB-004، فحص كسول كما في السابق)، يُحوَّل الاشتراك تلقائيًا إلى خطة Free (status يبقى active، expires_at يُصفَّر) بدل تعيين status=expired.</w:t>
      </w:r>
    </w:p>
    <w:p>
      <w:pPr>
        <w:bidi/>
        <w:spacing w:after="160"/>
        <w:jc w:val="right"/>
      </w:pPr>
      <w:r>
        <w:rPr>
          <w:rFonts w:ascii="Arial" w:cs="Arial" w:eastAsia="Arial" w:hAnsi="Arial"/>
          <w:sz w:val="22"/>
          <w:szCs w:val="22"/>
        </w:rPr>
        <w:t xml:space="preserve">get_my_subscription_via_repository: بائع لم يشترك قط يحصل تلقائيًا على اشتراك Free عند أول استعلام، بدل إعادة null.</w:t>
      </w:r>
    </w:p>
    <w:p>
      <w:pPr>
        <w:pStyle w:val="Heading2"/>
        <w:bidi/>
        <w:spacing w:after="160" w:before="240"/>
        <w:jc w:val="right"/>
      </w:pPr>
      <w:r>
        <w:rPr>
          <w:rFonts w:ascii="Arial" w:cs="Arial" w:eastAsia="Arial" w:hAnsi="Arial"/>
          <w:b/>
          <w:bCs/>
          <w:sz w:val="26"/>
          <w:szCs w:val="26"/>
        </w:rPr>
        <w:t xml:space="preserve">3.3 واجهة REST وOpenAPI</w:t>
      </w:r>
    </w:p>
    <w:p>
      <w:pPr>
        <w:bidi/>
        <w:spacing w:after="160"/>
        <w:jc w:val="right"/>
      </w:pPr>
      <w:r>
        <w:rPr>
          <w:rFonts w:ascii="Arial" w:cs="Arial" w:eastAsia="Arial" w:hAnsi="Arial"/>
          <w:sz w:val="22"/>
          <w:szCs w:val="22"/>
        </w:rPr>
        <w:t xml:space="preserve">PlanResponse أضيف لها الحقل is_free. عقود POST /subscriptions وGET /subscriptions/mine حُدِّثت وصفًا (لا تغيير كاسِر في البنية) لتعكس سلوك الترقية من Free والعودة التلقائية إليها. النسخة رُفعت إلى v1.9.0.</w:t>
      </w:r>
    </w:p>
    <w:p>
      <w:pPr>
        <w:pStyle w:val="Heading1"/>
        <w:bidi/>
        <w:spacing w:after="200" w:before="300"/>
        <w:jc w:val="right"/>
      </w:pPr>
      <w:r>
        <w:rPr>
          <w:rFonts w:ascii="Arial" w:cs="Arial" w:eastAsia="Arial" w:hAnsi="Arial"/>
          <w:b/>
          <w:bCs/>
          <w:sz w:val="32"/>
          <w:szCs w:val="32"/>
        </w:rPr>
        <w:t xml:space="preserve">4. خارج النطاق (بصراحة)</w:t>
      </w:r>
    </w:p>
    <w:p>
      <w:pPr>
        <w:pStyle w:val="ListParagraph"/>
        <w:numPr>
          <w:ilvl w:val="0"/>
          <w:numId w:val="1"/>
        </w:numPr>
        <w:bidi/>
        <w:spacing w:after="100"/>
        <w:jc w:val="right"/>
      </w:pPr>
      <w:r>
        <w:rPr>
          <w:rFonts w:ascii="Arial" w:cs="Arial" w:eastAsia="Arial" w:hAnsi="Arial"/>
          <w:sz w:val="22"/>
          <w:szCs w:val="22"/>
        </w:rPr>
        <w:t xml:space="preserve">إنفاذ حدود ومزايا كل خطة (REQ-SUB الخاصة بحدود الاستخدام) لم يُطبَّق بعد على مستوى أي خدمة مستهلِكة (Inventory/Orders/Store...)؛ لا خدمة اليوم تفحص حالة الاشتراك أصلًا. هذا يتطلب CR منفصلة عند تفعيله.</w:t>
      </w:r>
    </w:p>
    <w:p>
      <w:pPr>
        <w:pStyle w:val="ListParagraph"/>
        <w:numPr>
          <w:ilvl w:val="0"/>
          <w:numId w:val="1"/>
        </w:numPr>
        <w:bidi/>
        <w:spacing w:after="100"/>
        <w:jc w:val="right"/>
      </w:pPr>
      <w:r>
        <w:rPr>
          <w:rFonts w:ascii="Arial" w:cs="Arial" w:eastAsia="Arial" w:hAnsi="Arial"/>
          <w:sz w:val="22"/>
          <w:szCs w:val="22"/>
        </w:rPr>
        <w:t xml:space="preserve">إيقاف الحساب إداريًا (Account Suspension) كسبب رفض منفصل غير مرتبط بالاشتراك يبقى ضمن نطاق IAM، غير مُعدَّل هنا.</w:t>
      </w:r>
    </w:p>
    <w:p>
      <w:pPr>
        <w:pStyle w:val="ListParagraph"/>
        <w:numPr>
          <w:ilvl w:val="0"/>
          <w:numId w:val="1"/>
        </w:numPr>
        <w:bidi/>
        <w:spacing w:after="100"/>
        <w:jc w:val="right"/>
      </w:pPr>
      <w:r>
        <w:rPr>
          <w:rFonts w:ascii="Arial" w:cs="Arial" w:eastAsia="Arial" w:hAnsi="Arial"/>
          <w:sz w:val="22"/>
          <w:szCs w:val="22"/>
        </w:rPr>
        <w:t xml:space="preserve">دعم OAuth (REQ-IAM-011) يبقى مؤجَّلًا كما في القرارات السابقة، بانتظار ADR مستقل — غير ذي صلة بهذا القرار.</w:t>
      </w:r>
    </w:p>
    <w:p>
      <w:pPr>
        <w:pStyle w:val="Heading1"/>
        <w:bidi/>
        <w:spacing w:after="200" w:before="300"/>
        <w:jc w:val="right"/>
      </w:pPr>
      <w:r>
        <w:rPr>
          <w:rFonts w:ascii="Arial" w:cs="Arial" w:eastAsia="Arial" w:hAnsi="Arial"/>
          <w:b/>
          <w:bCs/>
          <w:sz w:val="32"/>
          <w:szCs w:val="32"/>
        </w:rPr>
        <w:t xml:space="preserve">5. الملفات المتأثرة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D9E2F3" w:val="clear"/>
          </w:tcPr>
          <w:p>
            <w:pPr>
              <w:bidi/>
              <w:spacing w:after="0"/>
              <w:jc w:val="right"/>
            </w:pPr>
            <w:r>
              <w:rPr>
                <w:rFonts w:ascii="Arial" w:cs="Arial" w:eastAsia="Arial" w:hAnsi="Arial"/>
                <w:b/>
                <w:bCs/>
                <w:sz w:val="22"/>
                <w:szCs w:val="22"/>
              </w:rPr>
              <w:t xml:space="preserve">الملف</w:t>
            </w:r>
          </w:p>
        </w:tc>
        <w:tc>
          <w:tcPr>
            <w:tcW w:type="pct" w:w="60%"/>
            <w:shd w:fill="D9E2F3" w:val="clear"/>
          </w:tcPr>
          <w:p>
            <w:pPr>
              <w:bidi/>
              <w:spacing w:after="0"/>
              <w:jc w:val="right"/>
            </w:pPr>
            <w:r>
              <w:rPr>
                <w:rFonts w:ascii="Arial" w:cs="Arial" w:eastAsia="Arial" w:hAnsi="Arial"/>
                <w:b/>
                <w:bCs/>
                <w:sz w:val="22"/>
                <w:szCs w:val="22"/>
              </w:rPr>
              <w:t xml:space="preserve">التغيير</w:t>
            </w:r>
          </w:p>
        </w:tc>
      </w:tr>
      <w:tr>
        <w:tc>
          <w:p>
            <w:pPr>
              <w:bidi/>
              <w:spacing w:after="0"/>
              <w:jc w:val="right"/>
            </w:pPr>
            <w:r>
              <w:rPr>
                <w:rFonts w:ascii="Arial" w:cs="Arial" w:eastAsia="Arial" w:hAnsi="Arial"/>
                <w:sz w:val="20"/>
                <w:szCs w:val="20"/>
              </w:rPr>
              <w:t xml:space="preserve">migrations/026_sub_free_plan.sql (جديد)</w:t>
            </w:r>
          </w:p>
        </w:tc>
        <w:tc>
          <w:p>
            <w:pPr>
              <w:bidi/>
              <w:spacing w:after="0"/>
              <w:jc w:val="right"/>
            </w:pPr>
            <w:r>
              <w:rPr>
                <w:rFonts w:ascii="Arial" w:cs="Arial" w:eastAsia="Arial" w:hAnsi="Arial"/>
                <w:sz w:val="20"/>
                <w:szCs w:val="20"/>
              </w:rPr>
              <w:t xml:space="preserve">عمود sub.plans.is_free + فهرس تفرّد + بذر خطة Free وقيمة مرجعية subscription_type=free + السماح بـ expires_at NULL</w:t>
            </w:r>
          </w:p>
        </w:tc>
      </w:tr>
      <w:tr>
        <w:tc>
          <w:p>
            <w:pPr>
              <w:bidi/>
              <w:spacing w:after="0"/>
              <w:jc w:val="right"/>
            </w:pPr>
            <w:r>
              <w:rPr>
                <w:rFonts w:ascii="Arial" w:cs="Arial" w:eastAsia="Arial" w:hAnsi="Arial"/>
                <w:sz w:val="20"/>
                <w:szCs w:val="20"/>
              </w:rPr>
              <w:t xml:space="preserve">services/sub/src/sub_service.py</w:t>
            </w:r>
          </w:p>
        </w:tc>
        <w:tc>
          <w:p>
            <w:pPr>
              <w:bidi/>
              <w:spacing w:after="0"/>
              <w:jc w:val="right"/>
            </w:pPr>
            <w:r>
              <w:rPr>
                <w:rFonts w:ascii="Arial" w:cs="Arial" w:eastAsia="Arial" w:hAnsi="Arial"/>
                <w:sz w:val="20"/>
                <w:szCs w:val="20"/>
              </w:rPr>
              <w:t xml:space="preserve">منطق الترقية من Free دون تعارض، والعودة التلقائية لـFree عند الانتهاء بدل حالة expired مسدودة</w:t>
            </w:r>
          </w:p>
        </w:tc>
      </w:tr>
      <w:tr>
        <w:tc>
          <w:p>
            <w:pPr>
              <w:bidi/>
              <w:spacing w:after="0"/>
              <w:jc w:val="right"/>
            </w:pPr>
            <w:r>
              <w:rPr>
                <w:rFonts w:ascii="Arial" w:cs="Arial" w:eastAsia="Arial" w:hAnsi="Arial"/>
                <w:sz w:val="20"/>
                <w:szCs w:val="20"/>
              </w:rPr>
              <w:t xml:space="preserve">services/sub/src/sub_repository.py</w:t>
            </w:r>
          </w:p>
        </w:tc>
        <w:tc>
          <w:p>
            <w:pPr>
              <w:bidi/>
              <w:spacing w:after="0"/>
              <w:jc w:val="right"/>
            </w:pPr>
            <w:r>
              <w:rPr>
                <w:rFonts w:ascii="Arial" w:cs="Arial" w:eastAsia="Arial" w:hAnsi="Arial"/>
                <w:sz w:val="20"/>
                <w:szCs w:val="20"/>
              </w:rPr>
              <w:t xml:space="preserve">إضافة get_free_plan() في PostgresSubRepository وInMemorySubRepository؛ حقل Plan.is_free</w:t>
            </w:r>
          </w:p>
        </w:tc>
      </w:tr>
      <w:tr>
        <w:tc>
          <w:p>
            <w:pPr>
              <w:bidi/>
              <w:spacing w:after="0"/>
              <w:jc w:val="right"/>
            </w:pPr>
            <w:r>
              <w:rPr>
                <w:rFonts w:ascii="Arial" w:cs="Arial" w:eastAsia="Arial" w:hAnsi="Arial"/>
                <w:sz w:val="20"/>
                <w:szCs w:val="20"/>
              </w:rPr>
              <w:t xml:space="preserve">services/sub/src/sub_api.py</w:t>
            </w:r>
          </w:p>
        </w:tc>
        <w:tc>
          <w:p>
            <w:pPr>
              <w:bidi/>
              <w:spacing w:after="0"/>
              <w:jc w:val="right"/>
            </w:pPr>
            <w:r>
              <w:rPr>
                <w:rFonts w:ascii="Arial" w:cs="Arial" w:eastAsia="Arial" w:hAnsi="Arial"/>
                <w:sz w:val="20"/>
                <w:szCs w:val="20"/>
              </w:rPr>
              <w:t xml:space="preserve">PlanResponse.is_free؛ GET /mine يعيد اشتراك Free تلقائيًا بدل null</w:t>
            </w:r>
          </w:p>
        </w:tc>
      </w:tr>
      <w:tr>
        <w:tc>
          <w:p>
            <w:pPr>
              <w:bidi/>
              <w:spacing w:after="0"/>
              <w:jc w:val="right"/>
            </w:pPr>
            <w:r>
              <w:rPr>
                <w:rFonts w:ascii="Arial" w:cs="Arial" w:eastAsia="Arial" w:hAnsi="Arial"/>
                <w:sz w:val="20"/>
                <w:szCs w:val="20"/>
              </w:rPr>
              <w:t xml:space="preserve">scripts/setup_test_database.sh</w:t>
            </w:r>
          </w:p>
        </w:tc>
        <w:tc>
          <w:p>
            <w:pPr>
              <w:bidi/>
              <w:spacing w:after="0"/>
              <w:jc w:val="right"/>
            </w:pPr>
            <w:r>
              <w:rPr>
                <w:rFonts w:ascii="Arial" w:cs="Arial" w:eastAsia="Arial" w:hAnsi="Arial"/>
                <w:sz w:val="20"/>
                <w:szCs w:val="20"/>
              </w:rPr>
              <w:t xml:space="preserve">إضافة 026_sub_free_plan.sql لقائمة REQUIRED_FILES (000-026)</w:t>
            </w:r>
          </w:p>
        </w:tc>
      </w:tr>
      <w:tr>
        <w:tc>
          <w:p>
            <w:pPr>
              <w:bidi/>
              <w:spacing w:after="0"/>
              <w:jc w:val="right"/>
            </w:pPr>
            <w:r>
              <w:rPr>
                <w:rFonts w:ascii="Arial" w:cs="Arial" w:eastAsia="Arial" w:hAnsi="Arial"/>
                <w:sz w:val="20"/>
                <w:szCs w:val="20"/>
              </w:rPr>
              <w:t xml:space="preserve">api_spec/openapi.yaml</w:t>
            </w:r>
          </w:p>
        </w:tc>
        <w:tc>
          <w:p>
            <w:pPr>
              <w:bidi/>
              <w:spacing w:after="0"/>
              <w:jc w:val="right"/>
            </w:pPr>
            <w:r>
              <w:rPr>
                <w:rFonts w:ascii="Arial" w:cs="Arial" w:eastAsia="Arial" w:hAnsi="Arial"/>
                <w:sz w:val="20"/>
                <w:szCs w:val="20"/>
              </w:rPr>
              <w:t xml:space="preserve">الترقية إلى v1.9.0: PlanResponse.is_free، توصيف محدَّث لـ POST /subscriptions وGET /subscriptions/mine</w:t>
            </w:r>
          </w:p>
        </w:tc>
      </w:tr>
      <w:tr>
        <w:tc>
          <w:p>
            <w:pPr>
              <w:bidi/>
              <w:spacing w:after="0"/>
              <w:jc w:val="right"/>
            </w:pPr>
            <w:r>
              <w:rPr>
                <w:rFonts w:ascii="Arial" w:cs="Arial" w:eastAsia="Arial" w:hAnsi="Arial"/>
                <w:sz w:val="20"/>
                <w:szCs w:val="20"/>
              </w:rPr>
              <w:t xml:space="preserve">.github/workflows/postgresql-validation.yml</w:t>
            </w:r>
          </w:p>
        </w:tc>
        <w:tc>
          <w:p>
            <w:pPr>
              <w:bidi/>
              <w:spacing w:after="0"/>
              <w:jc w:val="right"/>
            </w:pPr>
            <w:r>
              <w:rPr>
                <w:rFonts w:ascii="Arial" w:cs="Arial" w:eastAsia="Arial" w:hAnsi="Arial"/>
                <w:sz w:val="20"/>
                <w:szCs w:val="20"/>
              </w:rPr>
              <w:t xml:space="preserve">migration_count المتوقَّع 26 بدل 25</w:t>
            </w:r>
          </w:p>
        </w:tc>
      </w:tr>
      <w:tr>
        <w:tc>
          <w:p>
            <w:pPr>
              <w:bidi/>
              <w:spacing w:after="0"/>
              <w:jc w:val="right"/>
            </w:pPr>
            <w:r>
              <w:rPr>
                <w:rFonts w:ascii="Arial" w:cs="Arial" w:eastAsia="Arial" w:hAnsi="Arial"/>
                <w:sz w:val="20"/>
                <w:szCs w:val="20"/>
              </w:rPr>
              <w:t xml:space="preserve">tests/test_sub_api.py</w:t>
            </w:r>
          </w:p>
        </w:tc>
        <w:tc>
          <w:p>
            <w:pPr>
              <w:bidi/>
              <w:spacing w:after="0"/>
              <w:jc w:val="right"/>
            </w:pPr>
            <w:r>
              <w:rPr>
                <w:rFonts w:ascii="Arial" w:cs="Arial" w:eastAsia="Arial" w:hAnsi="Arial"/>
                <w:sz w:val="20"/>
                <w:szCs w:val="20"/>
              </w:rPr>
              <w:t xml:space="preserve">اختبارات جديدة/محدَّثة: الترقية من Free، التزويد التلقائي بـFree، العودة لـFree بعد الانتهاء</w:t>
            </w:r>
          </w:p>
        </w:tc>
      </w:tr>
    </w:tbl>
    <w:p/>
    <w:p>
      <w:pPr>
        <w:pStyle w:val="Heading1"/>
        <w:bidi/>
        <w:spacing w:after="200" w:before="300"/>
        <w:jc w:val="right"/>
      </w:pPr>
      <w:r>
        <w:rPr>
          <w:rFonts w:ascii="Arial" w:cs="Arial" w:eastAsia="Arial" w:hAnsi="Arial"/>
          <w:b/>
          <w:bCs/>
          <w:sz w:val="32"/>
          <w:szCs w:val="32"/>
        </w:rPr>
        <w:t xml:space="preserve">6. الأثر على الاختبارات</w:t>
      </w:r>
    </w:p>
    <w:p>
      <w:pPr>
        <w:bidi/>
        <w:spacing w:after="160"/>
        <w:jc w:val="right"/>
      </w:pPr>
      <w:r>
        <w:rPr>
          <w:rFonts w:ascii="Arial" w:cs="Arial" w:eastAsia="Arial" w:hAnsi="Arial"/>
          <w:sz w:val="22"/>
          <w:szCs w:val="22"/>
        </w:rPr>
        <w:t xml:space="preserve">test_sub_api.py: تحديث اختبار 'لا اشتراك سابق' ليعكس التزويد التلقائي بـFree بدل null؛ إضافة اختبار للترقية من Free لخطة مدفوعة دون تعارض؛ إضافة اختبار للعودة التلقائية لـFree بعد انتهاء خطة مدفوعة. اختبارات التكامل الحية (test_postgres_sub_cnt_sup_integration.py) غير متأثرة بنيويًا؛ ستُطبَّق عليها Migration 026 تلقائيًا ضمن تهيئة قاعدة الاختبار.</w:t>
      </w:r>
    </w:p>
    <w:p>
      <w:pPr>
        <w:pStyle w:val="Heading1"/>
        <w:bidi/>
        <w:spacing w:after="200" w:before="300"/>
        <w:jc w:val="right"/>
      </w:pPr>
      <w:r>
        <w:rPr>
          <w:rFonts w:ascii="Arial" w:cs="Arial" w:eastAsia="Arial" w:hAnsi="Arial"/>
          <w:b/>
          <w:bCs/>
          <w:sz w:val="32"/>
          <w:szCs w:val="32"/>
        </w:rPr>
        <w:t xml:space="preserve">7. لا مساس بالـBaseline التاريخي</w:t>
      </w:r>
    </w:p>
    <w:p>
      <w:pPr>
        <w:bidi/>
        <w:spacing w:after="160"/>
        <w:jc w:val="right"/>
      </w:pPr>
      <w:r>
        <w:rPr>
          <w:rFonts w:ascii="Arial" w:cs="Arial" w:eastAsia="Arial" w:hAnsi="Arial"/>
          <w:sz w:val="22"/>
          <w:szCs w:val="22"/>
        </w:rPr>
        <w:t xml:space="preserve">هذا القرار توسيع تراكمي على Migrations وOpenAPI المعتمَدين (نسق CR-011..013 نفسه)؛ لا تعديل رجعي على أي Migration سابقة (000-025) ولا على أي قرار حوكمي سابق. openapi.yaml يبقى ملحقًا بترقيم Minor (1.8.0 → 1.9.0) دون كسر أي عقد قائم.</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6"/>
        <w:szCs w:val="16"/>
      </w:rPr>
      <w:t xml:space="preserve">منصة سوق قطع غيار السيارات — طلب تغيير CR-014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2026-08-06T19:58:08.786Z</dcterms:created>
  <dcterms:modified xsi:type="dcterms:W3CDTF">2026-08-06T19:58:08.806Z</dcterms:modified>
</cp:coreProperties>
</file>

<file path=docProps/custom.xml><?xml version="1.0" encoding="utf-8"?>
<Properties xmlns="http://schemas.openxmlformats.org/officeDocument/2006/custom-properties" xmlns:vt="http://schemas.openxmlformats.org/officeDocument/2006/docPropsVTypes"/>
</file>