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b/>
          <w:bCs/>
          <w:sz w:val="32"/>
          <w:szCs w:val="32"/>
          <w:rtl/>
        </w:rPr>
        <w:t xml:space="preserve">Change Request CR-011</w:t>
      </w:r>
    </w:p>
    <w:p>
      <w:pPr>
        <w:bidi/>
        <w:spacing w:after="60"/>
        <w:jc w:val="center"/>
      </w:pPr>
      <w:r>
        <w:rPr>
          <w:b/>
          <w:bCs/>
          <w:sz w:val="26"/>
          <w:szCs w:val="26"/>
          <w:rtl/>
        </w:rPr>
        <w:t xml:space="preserve">توسيع نطاق أداة التحقق من انحراف المخطط (Schema Drift Check) لتغطية كامل قاعدة البيانات</w:t>
      </w:r>
    </w:p>
    <w:p>
      <w:pPr>
        <w:bidi/>
        <w:spacing w:after="280"/>
        <w:jc w:val="center"/>
      </w:pPr>
      <w:r>
        <w:rPr>
          <w:sz w:val="22"/>
          <w:szCs w:val="22"/>
          <w:rtl/>
        </w:rPr>
        <w:t xml:space="preserve">منصة عالمية متخصصة في سوق قطع غيار السيارات</w:t>
      </w:r>
    </w:p>
    <w:p>
      <w:pPr>
        <w:pStyle w:val="Heading1"/>
        <w:bidi/>
        <w:spacing w:after="140" w:before="300"/>
        <w:jc w:val="right"/>
      </w:pPr>
      <w:r>
        <w:rPr>
          <w:b/>
          <w:bCs/>
          <w:rtl/>
        </w:rPr>
        <w:t xml:space="preserve">0. بيان طلب التغيير</w:t>
      </w:r>
    </w:p>
    <w:p>
      <w:pPr>
        <w:bidi/>
        <w:spacing w:after="80"/>
        <w:jc w:val="right"/>
      </w:pPr>
      <w:r>
        <w:rPr>
          <w:rtl/>
        </w:rPr>
        <w:t xml:space="preserve">● رقم الطلب: CR-011</w:t>
      </w:r>
    </w:p>
    <w:p>
      <w:pPr>
        <w:bidi/>
        <w:spacing w:after="80"/>
        <w:jc w:val="right"/>
      </w:pPr>
      <w:r>
        <w:rPr>
          <w:rtl/>
        </w:rPr>
        <w:t xml:space="preserve">● طبيعة الطلب: لا تغيير معماري ولا متطلبات جديدة؛ توسيع أداة تحقق (Verification Tooling) مُسلَّمة أصلاً ضمن حزمة postgres_execution_package.zip المعتمَدة ضمن Baseline v1.0، ليغطي نطاق فحصها كامل المخطط الناتج عن الـ22 Migration بدلًا من 6 جداول فقط.</w:t>
      </w:r>
    </w:p>
    <w:p>
      <w:pPr>
        <w:bidi/>
        <w:spacing w:after="80"/>
        <w:jc w:val="right"/>
      </w:pPr>
      <w:r>
        <w:rPr>
          <w:rtl/>
        </w:rPr>
        <w:t xml:space="preserve">● السبب: قرار صريح من مالك المشروع بأن الاقتصار الحالي على 6 جداول غير موثَّق كاستثناء مقصود في أي وثيقة معتمَدة، ولا يحقق مستوى التحقق المطلوب للاعتماد النهائي لمرحلة PostgreSQL Validation.</w:t>
      </w:r>
    </w:p>
    <w:p>
      <w:pPr>
        <w:bidi/>
        <w:spacing w:after="80"/>
        <w:jc w:val="right"/>
      </w:pPr>
      <w:r>
        <w:rPr>
          <w:rtl/>
        </w:rPr>
        <w:t xml:space="preserve">● الحالة: مطروح للاعتماد؛ القرار المبدئي صادر فعلًا من مالك المشروع ضمن مراسلات مراجعة هذه المرحلة. لا يُنفَّذ أي تعديل على الكود قبل تسجيل اعتماد هذا الـCR رسميًا.</w:t>
      </w:r>
    </w:p>
    <w:p>
      <w:pPr>
        <w:pStyle w:val="Heading1"/>
        <w:bidi/>
        <w:spacing w:after="140" w:before="300"/>
        <w:jc w:val="right"/>
      </w:pPr>
      <w:r>
        <w:rPr>
          <w:b/>
          <w:bCs/>
          <w:rtl/>
        </w:rPr>
        <w:t xml:space="preserve">1. بيان الوقائع المتفق عليها (لا خلاف حولها بين الطرفين)</w:t>
      </w:r>
    </w:p>
    <w:p>
      <w:pPr>
        <w:bidi/>
        <w:spacing w:after="80"/>
        <w:jc w:val="right"/>
      </w:pPr>
      <w:r>
        <w:rPr>
          <w:rtl/>
        </w:rPr>
        <w:t xml:space="preserve">● أداة tools/schema_drift_check.py، كما سُلِّمت ضمن postgres_execution_package.zip (بصمة SHA-256 المؤكَّدة في Release Verification Report: c203a9a0e1709cdb2fe06805330d02b55f019def6812e8e0c38f8074f8cff155)، تتحقق حاليًا من 6 جداول فقط عبر قاموس EXPECTED_TABLES.</w:t>
      </w:r>
    </w:p>
    <w:p>
      <w:pPr>
        <w:bidi/>
        <w:spacing w:after="80"/>
        <w:jc w:val="right"/>
      </w:pPr>
      <w:r>
        <w:rPr>
          <w:rtl/>
        </w:rPr>
        <w:t xml:space="preserve">● الجداول الستة المفحوصة: ntf.campaigns، ntf.recipients، ntf.outbox، sys.scheduled_jobs، trm.ratings، trm.ratings_legacy_seller_only_v1 — جميعها من نتاج Migrations 018 حتى 021 فقط.</w:t>
      </w:r>
    </w:p>
    <w:p>
      <w:pPr>
        <w:bidi/>
        <w:spacing w:after="80"/>
        <w:jc w:val="right"/>
      </w:pPr>
      <w:r>
        <w:rPr>
          <w:rtl/>
        </w:rPr>
        <w:t xml:space="preserve">● التنفيذ الفعلي على GitHub Actions (Run ID: 30612887616، Commit: 7e0a18454429d1f77670d21b678d6283a9aad806) أكَّد وجود 52 جدولًا فعليًا عبر 15 Schema (بخلاف public)، عبر ملفَي table-list.txt وschema-list.txt المُرفَقين كأدلة خام.</w:t>
      </w:r>
    </w:p>
    <w:p>
      <w:pPr>
        <w:bidi/>
        <w:spacing w:after="80"/>
        <w:jc w:val="right"/>
      </w:pPr>
      <w:r>
        <w:rPr>
          <w:rtl/>
        </w:rPr>
        <w:t xml:space="preserve">● 46 جدولًا من أصل الـ52 (نتاج Migrations 001-017، عبر Schemas: iam، ref، aud، vct، pct، cmp، sub، str، pur، com، cnt، sup) غير مشمولة إطلاقًا في فحص Schema Drift حاليًا.</w:t>
      </w:r>
    </w:p>
    <w:p>
      <w:pPr>
        <w:bidi/>
        <w:spacing w:after="80"/>
        <w:jc w:val="right"/>
      </w:pPr>
      <w:r>
        <w:rPr>
          <w:rtl/>
        </w:rPr>
        <w:t xml:space="preserve">● لا يوجد ADR أو CR سابق ضمن Baseline v1.0 يوثِّق هذا النطاق المحدود (6 من 52) كقرار مقصود؛ الوصف الوحيد المتاح ("أداة موسَّعة" في Preparation Handoff) يوحي بتغطية شاملة، لا جزئية.</w:t>
      </w:r>
    </w:p>
    <w:p>
      <w:pPr>
        <w:bidi/>
        <w:spacing w:after="80"/>
        <w:jc w:val="right"/>
      </w:pPr>
      <w:r>
        <w:rPr>
          <w:rtl/>
        </w:rPr>
        <w:t xml:space="preserve">● معيار الإغلاق "عدم وجود ملاحظة معمارية أو تنفيذية مفتوحة بعد مراجعة النتائج" (Preparation Handoff، القسم 7) يبقى منطبقًا على هذه المسألة حتى صدور هذا الـCR واعتماده.</w:t>
      </w:r>
    </w:p>
    <w:p>
      <w:pPr>
        <w:pStyle w:val="Heading1"/>
        <w:bidi/>
        <w:spacing w:after="140" w:before="300"/>
        <w:jc w:val="right"/>
      </w:pPr>
      <w:r>
        <w:rPr>
          <w:b/>
          <w:bCs/>
          <w:rtl/>
        </w:rPr>
        <w:t xml:space="preserve">2. القرار المعتمَد (بصفة مالك المشروع)</w:t>
      </w:r>
    </w:p>
    <w:p>
      <w:pPr>
        <w:bidi/>
        <w:spacing w:after="120"/>
        <w:jc w:val="right"/>
      </w:pPr>
      <w:r>
        <w:rPr>
          <w:b/>
          <w:bCs/>
          <w:i w:val="false"/>
          <w:iCs w:val="false"/>
          <w:rtl/>
        </w:rPr>
        <w:t xml:space="preserve">نطاق فحص Schema Drift يجب أن يغطي المخطط الكامل الناتج عن جميع ملفات الـMigrations (000-021)، لا جزءًا منه فقط.</w:t>
      </w:r>
    </w:p>
    <w:p>
      <w:pPr>
        <w:pStyle w:val="Heading1"/>
        <w:bidi/>
        <w:spacing w:after="140" w:before="300"/>
        <w:jc w:val="right"/>
      </w:pPr>
      <w:r>
        <w:rPr>
          <w:b/>
          <w:bCs/>
          <w:rtl/>
        </w:rPr>
        <w:t xml:space="preserve">3. النطاق الدقيق للتغيير (In Scope)</w:t>
      </w:r>
    </w:p>
    <w:p>
      <w:pPr>
        <w:bidi/>
        <w:spacing w:after="80"/>
        <w:jc w:val="right"/>
      </w:pPr>
      <w:r>
        <w:rPr>
          <w:rtl/>
        </w:rPr>
        <w:t xml:space="preserve">● توسيع EXPECTED_TABLES ضمن tools/schema_drift_check.py ليشمل الـ52 جدولًا كاملة، بتعريف كامل لكل جدول (Columns/Types/Nullability/Defaults/PK/FK/Unique/Check/Indexes/Partial Indexes)، مُستخرَجًا من نص ملفات الـMigrations 001-021 الفعلية نفسها — لا افتراضًا أو نسخًا تقريبيًا.</w:t>
      </w:r>
    </w:p>
    <w:p>
      <w:pPr>
        <w:bidi/>
        <w:spacing w:after="80"/>
        <w:jc w:val="right"/>
      </w:pPr>
      <w:r>
        <w:rPr>
          <w:rtl/>
        </w:rPr>
        <w:t xml:space="preserve">● لا تغيير على منطق التصنيف الرباعي القائم (Missing / Extra / Definition Mismatch / Approved Exception) ولا على آلية الاتصال (قراءة TEST_DATABASE_URL كما هي).</w:t>
      </w:r>
    </w:p>
    <w:p>
      <w:pPr>
        <w:bidi/>
        <w:spacing w:after="80"/>
        <w:jc w:val="right"/>
      </w:pPr>
      <w:r>
        <w:rPr>
          <w:rtl/>
        </w:rPr>
        <w:t xml:space="preserve">● الحفاظ على التصنيف المعتمَد سلفًا لِـ trm.ratings_legacy_seller_only_v1 كـ Approved Exception (لا حذف فعلي، اتساقًا مع No Hard Delete Policy)؛ يُدرَج ضمن التوسيع بنفس المعاملة الحالية دون تغيير في وضعه الحوكمي.</w:t>
      </w:r>
    </w:p>
    <w:p>
      <w:pPr>
        <w:pStyle w:val="Heading1"/>
        <w:bidi/>
        <w:spacing w:after="140" w:before="300"/>
        <w:jc w:val="right"/>
      </w:pPr>
      <w:r>
        <w:rPr>
          <w:b/>
          <w:bCs/>
          <w:rtl/>
        </w:rPr>
        <w:t xml:space="preserve">4. خارج النطاق (Out of Scope)</w:t>
      </w:r>
    </w:p>
    <w:p>
      <w:pPr>
        <w:bidi/>
        <w:spacing w:after="80"/>
        <w:jc w:val="right"/>
      </w:pPr>
      <w:r>
        <w:rPr>
          <w:rtl/>
        </w:rPr>
        <w:t xml:space="preserve">● لا تعديل على منطق أي من الخدمات الثلاث عشرة (Service أو Repository).</w:t>
      </w:r>
    </w:p>
    <w:p>
      <w:pPr>
        <w:bidi/>
        <w:spacing w:after="80"/>
        <w:jc w:val="right"/>
      </w:pPr>
      <w:r>
        <w:rPr>
          <w:rtl/>
        </w:rPr>
        <w:t xml:space="preserve">● لا تعديل على أي Migration قائمة، أو أي متطلب SRS، أو أي قرار SAD/ADR معتمَد.</w:t>
      </w:r>
    </w:p>
    <w:p>
      <w:pPr>
        <w:bidi/>
        <w:spacing w:after="80"/>
        <w:jc w:val="right"/>
      </w:pPr>
      <w:r>
        <w:rPr>
          <w:rtl/>
        </w:rPr>
        <w:t xml:space="preserve">● لا يُعتبَر هذا الـCR فرصة لإضافة فحوصات جديدة غير مذكورة صراحة أعلاه (كفحص الصلاحيات Permissions أو الـTriggers)؛ أي توسيع إضافي يستوجب CR منفصلًا لاحقًا إن لزم.</w:t>
      </w:r>
    </w:p>
    <w:p>
      <w:pPr>
        <w:pStyle w:val="Heading1"/>
        <w:bidi/>
        <w:spacing w:after="140" w:before="300"/>
        <w:jc w:val="right"/>
      </w:pPr>
      <w:r>
        <w:rPr>
          <w:b/>
          <w:bCs/>
          <w:rtl/>
        </w:rPr>
        <w:t xml:space="preserve">5. المخاطر</w:t>
      </w:r>
    </w:p>
    <w:p>
      <w:pPr>
        <w:bidi/>
        <w:spacing w:after="80"/>
        <w:jc w:val="right"/>
      </w:pPr>
      <w:r>
        <w:rPr>
          <w:rtl/>
        </w:rPr>
        <w:t xml:space="preserve">● خطر حقيقي ومتوقَّع: قد يكشف التوسيع انحرافًا فعليًا (diffs_found &gt; 0) في أحد الـ46 جدولًا التي لم تُفحَص من قبل. هذا احتمال وارد يجب توثيقه وتصنيفه فور ظهوره (Missing/Extra/Definition Mismatch/Approved Exception عند الاقتضاء)، لا تجاهله أو إخفاؤه بغرض تسريع الإغلاق.</w:t>
      </w:r>
    </w:p>
    <w:p>
      <w:pPr>
        <w:bidi/>
        <w:spacing w:after="80"/>
        <w:jc w:val="right"/>
      </w:pPr>
      <w:r>
        <w:rPr>
          <w:rtl/>
        </w:rPr>
        <w:t xml:space="preserve">● لا خطر معماري أو تراجعي: التعديل يقتصر على أداة تحقق للقراءة فقط (Read-Only Verification Tool)؛ لا يكتب على قاعدة البيانات ولا يُعدِّل أي Migration أو بنية جدول فعلية.</w:t>
      </w:r>
    </w:p>
    <w:p>
      <w:pPr>
        <w:pStyle w:val="Heading1"/>
        <w:bidi/>
        <w:spacing w:after="140" w:before="300"/>
        <w:jc w:val="right"/>
      </w:pPr>
      <w:r>
        <w:rPr>
          <w:b/>
          <w:bCs/>
          <w:rtl/>
        </w:rPr>
        <w:t xml:space="preserve">6. معايير قبول هذا الـCR</w:t>
      </w:r>
    </w:p>
    <w:p>
      <w:pPr>
        <w:bidi/>
        <w:spacing w:after="80"/>
        <w:jc w:val="right"/>
      </w:pPr>
      <w:r>
        <w:rPr>
          <w:rtl/>
        </w:rPr>
        <w:t xml:space="preserve">● EXPECTED_TABLES يطابق تمامًا قائمة الجداول الـ52 الفعلية المؤكَّدة في table-list.txt.</w:t>
      </w:r>
    </w:p>
    <w:p>
      <w:pPr>
        <w:bidi/>
        <w:spacing w:after="80"/>
        <w:jc w:val="right"/>
      </w:pPr>
      <w:r>
        <w:rPr>
          <w:rtl/>
        </w:rPr>
        <w:t xml:space="preserve">● إعادة تشغيل schema_drift_check.py فعليًا على قاعدة اختبار مُطبَّق عليها كل الـ22 Migration، مع إرفاق الناتج الخام الجديد (schema-drift.json) دون أي تحرير أو تلخيص.</w:t>
      </w:r>
    </w:p>
    <w:p>
      <w:pPr>
        <w:bidi/>
        <w:spacing w:after="80"/>
        <w:jc w:val="right"/>
      </w:pPr>
      <w:r>
        <w:rPr>
          <w:rtl/>
        </w:rPr>
        <w:t xml:space="preserve">● الناتج الجديد يُظهر tables_checked = 52.</w:t>
      </w:r>
    </w:p>
    <w:p>
      <w:pPr>
        <w:bidi/>
        <w:spacing w:after="80"/>
        <w:jc w:val="right"/>
      </w:pPr>
      <w:r>
        <w:rPr>
          <w:rtl/>
        </w:rPr>
        <w:t xml:space="preserve">● أي diffs_found &gt; 0 يظهر في الناتج الجديد يُوثَّق ويُصنَّف صراحة قبل اعتبار هذا البند التنفيذي مغلقًا. لا يُشتَرط أن تكون النتيجة صفرًا لإغلاق هذا الـCR نفسه (اعتماد التوسيع لا يعني بالضرورة نظافة كل الجداول)، لكن يبقى معيار "صفر Schema Drift غير معتمَد" شرطًا منفصلًا لإغلاق مرحلة PostgreSQL Validation ذاتها.</w:t>
      </w:r>
    </w:p>
    <w:p>
      <w:pPr>
        <w:pStyle w:val="Heading1"/>
        <w:bidi/>
        <w:spacing w:after="140" w:before="300"/>
        <w:jc w:val="right"/>
      </w:pPr>
      <w:r>
        <w:rPr>
          <w:b/>
          <w:bCs/>
          <w:rtl/>
        </w:rPr>
        <w:t xml:space="preserve">7. الأثر على الوثائق</w:t>
      </w:r>
    </w:p>
    <w:p>
      <w:pPr>
        <w:bidi/>
        <w:spacing w:after="80"/>
        <w:jc w:val="right"/>
      </w:pPr>
      <w:r>
        <w:rPr>
          <w:rtl/>
        </w:rPr>
        <w:t xml:space="preserve">● Preparation Handoff / PostgreSQL_Integration_Preparation_Package_v2: تحديث وصف أداة Schema Drift ليعكس التغطية الكاملة (52 جدولًا) بدلًا من العبارة العامة الحالية.</w:t>
      </w:r>
    </w:p>
    <w:p>
      <w:pPr>
        <w:bidi/>
        <w:spacing w:after="80"/>
        <w:jc w:val="right"/>
      </w:pPr>
      <w:r>
        <w:rPr>
          <w:rtl/>
        </w:rPr>
        <w:t xml:space="preserve">● لا حاجة لتحديث Blueprint أو SRS أو SAD أو أي ADR (لا تغيير معماري ولا في المتطلبات).</w:t>
      </w:r>
    </w:p>
    <w:p>
      <w:pPr>
        <w:bidi/>
        <w:spacing w:after="80"/>
        <w:jc w:val="right"/>
      </w:pPr>
      <w:r>
        <w:rPr>
          <w:rtl/>
        </w:rPr>
        <w:t xml:space="preserve">● يُوصى بإضافة ملاحظة توثيقية داخل tools/schema_drift_check.py نفسه تُلزم بمراجعة EXPECTED_TABLES عند إضافة أي Migration مستقبلية، لمنع تكرار هذه الفجوة صامتًا عند توسّع المخطط لاحقًا.</w:t>
      </w:r>
    </w:p>
    <w:p>
      <w:pPr>
        <w:bidi/>
        <w:spacing w:before="260"/>
        <w:jc w:val="right"/>
      </w:pPr>
      <w:r>
        <w:rPr>
          <w:i/>
          <w:iCs/>
          <w:rtl/>
        </w:rPr>
        <w:t xml:space="preserve">لا تعديل فعلي على tools/schema_drift_check.py أو أي ملف آخر قبل اعتماد هذا الـCR هنا أولًا.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2026-07-31T09:56:33.788Z</dcterms:created>
  <dcterms:modified xsi:type="dcterms:W3CDTF">2026-07-31T09:56:33.800Z</dcterms:modified>
</cp:coreProperties>
</file>

<file path=docProps/custom.xml><?xml version="1.0" encoding="utf-8"?>
<Properties xmlns="http://schemas.openxmlformats.org/officeDocument/2006/custom-properties" xmlns:vt="http://schemas.openxmlformats.org/officeDocument/2006/docPropsVTypes"/>
</file>