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b/>
          <w:sz w:val="36"/>
        </w:rPr>
        <w:t>Change Request CR-012</w:t>
      </w:r>
    </w:p>
    <w:p>
      <w:pPr>
        <w:spacing w:after="120"/>
        <w:jc w:val="right"/>
      </w:pPr>
      <w:r>
        <w:rPr>
          <w:b/>
          <w:sz w:val="28"/>
        </w:rPr>
        <w:t>إصلاحات التحقق الحي لـ PostgreSQL دون تعديل الترحيلات التاريخية</w:t>
      </w:r>
    </w:p>
    <w:p>
      <w:pPr>
        <w:spacing w:after="120"/>
        <w:jc w:val="right"/>
      </w:pPr>
      <w:r>
        <w:rPr>
          <w:b/>
          <w:sz w:val="24"/>
        </w:rPr>
        <w:t>0. حالة الطلب</w:t>
      </w:r>
    </w:p>
    <w:p>
      <w:pPr>
        <w:pStyle w:val="ListBullet"/>
        <w:spacing w:after="120"/>
        <w:jc w:val="right"/>
      </w:pPr>
      <w:r>
        <w:t>الحالة: معتمد من مالك المشروع للتنفيذ ضمن هذه الحزمة، ويبقى اعتماد إغلاق المرحلة معلقًا على نتائج GitHub Actions ومراجعة منصة البرمجة.</w:t>
      </w:r>
    </w:p>
    <w:p>
      <w:pPr>
        <w:pStyle w:val="ListBullet"/>
        <w:spacing w:after="120"/>
        <w:jc w:val="right"/>
      </w:pPr>
      <w:r>
        <w:t>طبيعة الطلب: إصلاحات تنفيذية اكتشفتها اختبارات PostgreSQL الحية، وليست ميزات أعمال جديدة.</w:t>
      </w:r>
    </w:p>
    <w:p>
      <w:pPr>
        <w:spacing w:after="120"/>
        <w:jc w:val="right"/>
      </w:pPr>
      <w:r>
        <w:rPr>
          <w:b/>
          <w:sz w:val="24"/>
        </w:rPr>
        <w:t>1. الوقائع</w:t>
      </w:r>
    </w:p>
    <w:p>
      <w:pPr>
        <w:pStyle w:val="ListBullet"/>
        <w:spacing w:after="120"/>
        <w:jc w:val="right"/>
      </w:pPr>
      <w:r>
        <w:t>فشل الإدراج في بعض المستودعات بسبب عدم تمرير business_code الإلزامي.</w:t>
      </w:r>
    </w:p>
    <w:p>
      <w:pPr>
        <w:pStyle w:val="ListBullet"/>
        <w:spacing w:after="120"/>
        <w:jc w:val="right"/>
      </w:pPr>
      <w:r>
        <w:t>القيمة contact_for_price أطول من VARCHAR(16).</w:t>
      </w:r>
    </w:p>
    <w:p>
      <w:pPr>
        <w:pStyle w:val="ListBullet"/>
        <w:spacing w:after="120"/>
        <w:jc w:val="right"/>
      </w:pPr>
      <w:r>
        <w:t>سياسة Append-Only لجدول ntf.template_versions كانت موثقة دون إنفاذ فعلي على مستوى قاعدة البيانات.</w:t>
      </w:r>
    </w:p>
    <w:p>
      <w:pPr>
        <w:pStyle w:val="ListBullet"/>
        <w:spacing w:after="120"/>
        <w:jc w:val="right"/>
      </w:pPr>
      <w:r>
        <w:t>لا يجوز تعديل Migrations 000-021 بعد اعتمادها وتنفيذها.</w:t>
      </w:r>
    </w:p>
    <w:p>
      <w:pPr>
        <w:spacing w:after="120"/>
        <w:jc w:val="right"/>
      </w:pPr>
      <w:r>
        <w:rPr>
          <w:b/>
          <w:sz w:val="24"/>
        </w:rPr>
        <w:t>2. القرار</w:t>
      </w:r>
    </w:p>
    <w:p>
      <w:pPr>
        <w:pStyle w:val="ListBullet"/>
        <w:spacing w:after="120"/>
        <w:jc w:val="right"/>
      </w:pPr>
      <w:r>
        <w:t>الحفاظ على ملفات Migrations 000-021 مطابقة حرفيًا للنسخة المعتمدة.</w:t>
      </w:r>
    </w:p>
    <w:p>
      <w:pPr>
        <w:pStyle w:val="ListBullet"/>
        <w:spacing w:after="120"/>
        <w:jc w:val="right"/>
      </w:pPr>
      <w:r>
        <w:t>إضافة Migration جديدة برقم 022 لتنفيذ تصحيحَي قاعدة البيانات.</w:t>
      </w:r>
    </w:p>
    <w:p>
      <w:pPr>
        <w:pStyle w:val="ListBullet"/>
        <w:spacing w:after="120"/>
        <w:jc w:val="right"/>
      </w:pPr>
      <w:r>
        <w:t>تعديل مستودعَي Inventory Item وOrder فقط لتمرير business_code.</w:t>
      </w:r>
    </w:p>
    <w:p>
      <w:pPr>
        <w:pStyle w:val="ListBullet"/>
        <w:spacing w:after="120"/>
        <w:jc w:val="right"/>
      </w:pPr>
      <w:r>
        <w:t>تحديث اختبارات PostgreSQL لإثبات الإصلاحات.</w:t>
      </w:r>
    </w:p>
    <w:p>
      <w:pPr>
        <w:spacing w:after="120"/>
        <w:jc w:val="right"/>
      </w:pPr>
      <w:r>
        <w:rPr>
          <w:b/>
          <w:sz w:val="24"/>
        </w:rPr>
        <w:t>3. نطاق التنفيذ</w:t>
      </w:r>
    </w:p>
    <w:p>
      <w:pPr>
        <w:pStyle w:val="ListBullet"/>
        <w:spacing w:after="120"/>
        <w:jc w:val="right"/>
      </w:pPr>
      <w:r>
        <w:t>022_postgresql_validation_runtime_fixes.sql: توسيع str.inventory_items.pricing_mode إلى VARCHAR(32)، وإضافة Trigger يمنع UPDATE/DELETE على ntf.template_versions.</w:t>
      </w:r>
    </w:p>
    <w:p>
      <w:pPr>
        <w:pStyle w:val="ListBullet"/>
        <w:spacing w:after="120"/>
        <w:jc w:val="right"/>
      </w:pPr>
      <w:r>
        <w:t>inventory_item_repository.py: توليد business_code فريد عند الإدراج.</w:t>
      </w:r>
    </w:p>
    <w:p>
      <w:pPr>
        <w:pStyle w:val="ListBullet"/>
        <w:spacing w:after="120"/>
        <w:jc w:val="right"/>
      </w:pPr>
      <w:r>
        <w:t>order_repository.py: توليد business_code فريد لطلب الشراء والعرض.</w:t>
      </w:r>
    </w:p>
    <w:p>
      <w:pPr>
        <w:pStyle w:val="ListBullet"/>
        <w:spacing w:after="120"/>
        <w:jc w:val="right"/>
      </w:pPr>
      <w:r>
        <w:t>لا تعديل على Blueprint أو SRS أو SAD أو منطق أعمال جديد.</w:t>
      </w:r>
    </w:p>
    <w:p>
      <w:pPr>
        <w:spacing w:after="120"/>
        <w:jc w:val="right"/>
      </w:pPr>
      <w:r>
        <w:rPr>
          <w:b/>
          <w:sz w:val="24"/>
        </w:rPr>
        <w:t>4. معايير القبول</w:t>
      </w:r>
    </w:p>
    <w:p>
      <w:pPr>
        <w:pStyle w:val="ListBullet"/>
        <w:spacing w:after="120"/>
        <w:jc w:val="right"/>
      </w:pPr>
      <w:r>
        <w:t>تطبيق Migrations 000-022 من الصفر دون خطأ.</w:t>
      </w:r>
    </w:p>
    <w:p>
      <w:pPr>
        <w:pStyle w:val="ListBullet"/>
        <w:spacing w:after="120"/>
        <w:jc w:val="right"/>
      </w:pPr>
      <w:r>
        <w:t>Repository Tests: 14 passed, 0 skipped.</w:t>
      </w:r>
    </w:p>
    <w:p>
      <w:pPr>
        <w:pStyle w:val="ListBullet"/>
        <w:spacing w:after="120"/>
        <w:jc w:val="right"/>
      </w:pPr>
      <w:r>
        <w:t>Integration Tests: 10 passed, 0 skipped.</w:t>
      </w:r>
    </w:p>
    <w:p>
      <w:pPr>
        <w:pStyle w:val="ListBullet"/>
        <w:spacing w:after="120"/>
        <w:jc w:val="right"/>
      </w:pPr>
      <w:r>
        <w:t>Schema Drift: tables_checked = 52 مع فحص PK/FK وعدم وجود Drift غير معتمد.</w:t>
      </w:r>
    </w:p>
    <w:p>
      <w:pPr>
        <w:pStyle w:val="ListBullet"/>
        <w:spacing w:after="120"/>
        <w:jc w:val="right"/>
      </w:pPr>
      <w:r>
        <w:t>Full Regression: 361 passed, 0 failed.</w:t>
      </w:r>
    </w:p>
    <w:p>
      <w:pPr>
        <w:spacing w:after="120"/>
        <w:jc w:val="right"/>
      </w:pPr>
      <w:r>
        <w:rPr>
          <w:b/>
          <w:sz w:val="24"/>
        </w:rPr>
        <w:t>5. الأثر الحوكمي</w:t>
      </w:r>
    </w:p>
    <w:p>
      <w:pPr>
        <w:pStyle w:val="ListBullet"/>
        <w:spacing w:after="120"/>
        <w:jc w:val="right"/>
      </w:pPr>
      <w:r>
        <w:t>هذا CR خفيف الوزن لتوثيق إصلاحات تنفيذية مكتشفة أثناء التحقق الحي.</w:t>
      </w:r>
    </w:p>
    <w:p>
      <w:pPr>
        <w:pStyle w:val="ListBullet"/>
        <w:spacing w:after="120"/>
        <w:jc w:val="right"/>
      </w:pPr>
      <w:r>
        <w:t>لا تصبح الحزمة Baseline نهائيًا إلا بعد مراجعة الأدلة الخام وإصدار PostgreSQL Validation Report وPhase Completion Handoff.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