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SpongeBob Character Classifier</w:t>
      </w:r>
    </w:p>
    <w:p>
      <w:pPr>
        <w:pStyle w:val="Heading2"/>
        <w:spacing w:after="100"/>
      </w:pPr>
      <w:r>
        <w:t xml:space="preserve">Dataset Collection, Annotation &amp; Training Report</w:t>
      </w:r>
    </w:p>
    <w:p>
      <w:pPr>
        <w:spacing w:after="160"/>
      </w:pPr>
      <w:r>
        <w:rPr>
          <w:i/>
          <w:iCs/>
          <w:color w:val="555555"/>
        </w:rPr>
        <w:t xml:space="preserve">CV Session 2 — Task Report</w:t>
      </w:r>
    </w:p>
    <w:p>
      <w:pPr>
        <w:spacing w:after="160"/>
      </w:pPr>
      <w:r>
        <w:rPr>
          <w:i/>
          <w:iCs/>
          <w:color w:val="555555"/>
        </w:rPr>
        <w:t xml:space="preserve">Date: September 26, 2026</w:t>
      </w:r>
    </w:p>
    <w:p>
      <w:pPr>
        <w:pStyle w:val="Heading1"/>
        <w:spacing w:after="150" w:before="300"/>
      </w:pPr>
      <w:r>
        <w:t xml:space="preserve">1. Objective</w:t>
      </w:r>
    </w:p>
    <w:p>
      <w:pPr>
        <w:spacing w:after="160"/>
      </w:pPr>
      <w:r>
        <w:t xml:space="preserve">This report documents the methodology used to build an image classification model that identifies six main characters from SpongeBob SquarePants: SpongeBob SquarePants, Patrick Star, Squidward Tentacles, Sandy Cheeks, Plankton, and Mr. Krabs. The model was trained using the YOLOv8 classification architecture (yolov8n-cls).</w:t>
      </w:r>
    </w:p>
    <w:p>
      <w:pPr>
        <w:pStyle w:val="Heading1"/>
        <w:spacing w:after="150" w:before="300"/>
      </w:pPr>
      <w:r>
        <w:t xml:space="preserve">2. Dataset Collection Methodology</w:t>
      </w:r>
    </w:p>
    <w:p>
      <w:pPr>
        <w:spacing w:after="160"/>
      </w:pPr>
      <w:r>
        <w:t xml:space="preserve">Images were collected using an automated web image crawler (icrawler, backed by the Bing Image Search API) rather than manual downloading, to make the process reproducible and scalable. For each character, one or more targeted search queries were issued, for example “Squidward Tentacles SpongeBob character screenshot”, combining the character's full name with the show's name and the word “character”/“screenshot” to bias results toward clear, single-character depictions rather than merchandise or fan art.</w:t>
      </w:r>
    </w:p>
    <w:p>
      <w:pPr>
        <w:spacing w:after="160"/>
      </w:pPr>
      <w:r>
        <w:t xml:space="preserve">Design choices made during collection:</w:t>
      </w:r>
    </w:p>
    <w:p>
      <w:pPr>
        <w:pStyle w:val="ListParagraph"/>
        <w:numPr>
          <w:ilvl w:val="0"/>
          <w:numId w:val="2"/>
        </w:numPr>
        <w:spacing w:after="60"/>
      </w:pPr>
      <w:r>
        <w:t xml:space="preserve">Search terms combined the character name + show name + “character/screenshot” to reduce irrelevant results (toys, memes, unrelated cartoons).</w:t>
      </w:r>
    </w:p>
    <w:p>
      <w:pPr>
        <w:pStyle w:val="ListParagraph"/>
        <w:numPr>
          <w:ilvl w:val="0"/>
          <w:numId w:val="2"/>
        </w:numPr>
        <w:spacing w:after="60"/>
      </w:pPr>
      <w:r>
        <w:t xml:space="preserve">A minimum image size filter (150×150 px) was applied at crawl time to discard thumbnails and icons.</w:t>
      </w:r>
    </w:p>
    <w:p>
      <w:pPr>
        <w:pStyle w:val="ListParagraph"/>
        <w:numPr>
          <w:ilvl w:val="0"/>
          <w:numId w:val="2"/>
        </w:numPr>
        <w:spacing w:after="60"/>
      </w:pPr>
      <w:r>
        <w:t xml:space="preserve">Roughly 200–260 raw images were pulled per class, anticipating that 25–40% would be discarded during cleaning.</w:t>
      </w:r>
    </w:p>
    <w:p>
      <w:pPr>
        <w:pStyle w:val="ListParagraph"/>
        <w:numPr>
          <w:ilvl w:val="0"/>
          <w:numId w:val="2"/>
        </w:numPr>
        <w:spacing w:after="60"/>
      </w:pPr>
      <w:r>
        <w:t xml:space="preserve">Collection is easily re-run with wider search terms or a higher max-images setting if more data is needed.</w:t>
      </w:r>
    </w:p>
    <w:p>
      <w:pPr>
        <w:pStyle w:val="Heading1"/>
        <w:spacing w:after="150" w:before="300"/>
      </w:pPr>
      <w:r>
        <w:t xml:space="preserve">3. Data Cleaning &amp; Annotation Process</w:t>
      </w:r>
    </w:p>
    <w:p>
      <w:pPr>
        <w:spacing w:after="160"/>
      </w:pPr>
      <w:r>
        <w:t xml:space="preserve">Since this is a single-label classification task (not object detection), “annotation” takes the form of correct class assignment via folder structure, combined with quality-control filtering. The pipeline applied the following steps, in order:</w:t>
      </w:r>
    </w:p>
    <w:p>
      <w:pPr>
        <w:pStyle w:val="Heading2"/>
        <w:spacing w:after="120" w:before="240"/>
      </w:pPr>
      <w:r>
        <w:t xml:space="preserve">3.1 Automated cleaning</w:t>
      </w:r>
    </w:p>
    <w:p>
      <w:pPr>
        <w:pStyle w:val="ListParagraph"/>
        <w:numPr>
          <w:ilvl w:val="0"/>
          <w:numId w:val="2"/>
        </w:numPr>
        <w:spacing w:after="60"/>
      </w:pPr>
      <w:r>
        <w:t xml:space="preserve">Corrupt / unreadable files: any file that PIL could not open as a valid RGB image was discarded.</w:t>
      </w:r>
    </w:p>
    <w:p>
      <w:pPr>
        <w:pStyle w:val="ListParagraph"/>
        <w:numPr>
          <w:ilvl w:val="0"/>
          <w:numId w:val="2"/>
        </w:numPr>
        <w:spacing w:after="60"/>
      </w:pPr>
      <w:r>
        <w:t xml:space="preserve">Deduplication: perceptual hashing (pHash, via the imagehash library) was used to detect and remove near-duplicate images — common when a crawler pulls the same still from multiple mirrors.</w:t>
      </w:r>
    </w:p>
    <w:p>
      <w:pPr>
        <w:pStyle w:val="Heading2"/>
        <w:spacing w:after="120" w:before="240"/>
      </w:pPr>
      <w:r>
        <w:t xml:space="preserve">3.2 Manual review (human-in-the-loop labeling QA)</w:t>
      </w:r>
    </w:p>
    <w:p>
      <w:pPr>
        <w:spacing w:after="160"/>
      </w:pPr>
      <w:r>
        <w:t xml:space="preserve">After automated cleaning, every remaining image was manually reviewed inside its class folder and any of the following were removed:</w:t>
      </w:r>
    </w:p>
    <w:p>
      <w:pPr>
        <w:pStyle w:val="ListParagraph"/>
        <w:numPr>
          <w:ilvl w:val="0"/>
          <w:numId w:val="2"/>
        </w:numPr>
        <w:spacing w:after="60"/>
      </w:pPr>
      <w:r>
        <w:t xml:space="preserve">Wrong character, or the wrong character shown more prominently than the target character.</w:t>
      </w:r>
    </w:p>
    <w:p>
      <w:pPr>
        <w:pStyle w:val="ListParagraph"/>
        <w:numPr>
          <w:ilvl w:val="0"/>
          <w:numId w:val="2"/>
        </w:numPr>
        <w:spacing w:after="60"/>
      </w:pPr>
      <w:r>
        <w:t xml:space="preserve">Multiple main characters in the same frame (ambiguous single-label images).</w:t>
      </w:r>
    </w:p>
    <w:p>
      <w:pPr>
        <w:pStyle w:val="ListParagraph"/>
        <w:numPr>
          <w:ilvl w:val="0"/>
          <w:numId w:val="2"/>
        </w:numPr>
        <w:spacing w:after="60"/>
      </w:pPr>
      <w:r>
        <w:t xml:space="preserve">Fan art or heavily stylized redraws that do not match the official character model.</w:t>
      </w:r>
    </w:p>
    <w:p>
      <w:pPr>
        <w:pStyle w:val="ListParagraph"/>
        <w:numPr>
          <w:ilvl w:val="0"/>
          <w:numId w:val="2"/>
        </w:numPr>
        <w:spacing w:after="60"/>
      </w:pPr>
      <w:r>
        <w:t xml:space="preserve">Merchandise-only shots (toys, plush dolls, clothing) with no clear character illustration.</w:t>
      </w:r>
    </w:p>
    <w:p>
      <w:pPr>
        <w:pStyle w:val="ListParagraph"/>
        <w:numPr>
          <w:ilvl w:val="0"/>
          <w:numId w:val="2"/>
        </w:numPr>
        <w:spacing w:after="60"/>
      </w:pPr>
      <w:r>
        <w:t xml:space="preserve">Memes, heavily cropped, or heavily edited/filtered images.</w:t>
      </w:r>
    </w:p>
    <w:p>
      <w:pPr>
        <w:spacing w:after="160"/>
      </w:pPr>
      <w:r>
        <w:t xml:space="preserve">This manual pass is the core annotation/QA step of the project: it is what guarantees every image placed in a class folder genuinely, unambiguously represents that character.</w:t>
      </w:r>
    </w:p>
    <w:p>
      <w:pPr>
        <w:pStyle w:val="Heading2"/>
        <w:spacing w:after="120" w:before="240"/>
      </w:pPr>
      <w:r>
        <w:t xml:space="preserve">3.3 Train / validation / test split</w:t>
      </w:r>
    </w:p>
    <w:p>
      <w:pPr>
        <w:spacing w:after="160"/>
      </w:pPr>
      <w:r>
        <w:t xml:space="preserve">The cleaned dataset was split per class into 70% train, 20% validation, and 10% test, preserving class balance across splits, and organized into the folder layout required by Ultralytics' YOLO classification trainer (dataset/train|val|test/&lt;class_name&gt;/*.jpg).</w:t>
      </w:r>
    </w:p>
    <w:p>
      <w:pPr>
        <w:pStyle w:val="Heading1"/>
        <w:spacing w:after="150" w:before="300"/>
      </w:pPr>
      <w:r>
        <w:t xml:space="preserve">4. Dataset Summary</w:t>
      </w:r>
    </w:p>
    <w:p>
      <w:pPr>
        <w:spacing w:after="160"/>
      </w:pPr>
      <w:r>
        <w:t xml:space="preserve">Approximate image counts at each stage of the pipeline (final counts depend on the manual review pass and will vary run to run):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3200"/>
      </w:tblGrid>
      <w:tr>
        <w:tc>
          <w:tcPr>
            <w:tcW w:type="dxa" w:w="2200"/>
            <w:shd w:fill="2E5395" w:val="clear"/>
          </w:tcPr>
          <w:p>
            <w:r>
              <w:rPr>
                <w:b/>
                <w:bCs/>
                <w:color w:val="FFFFFF"/>
              </w:rPr>
              <w:t xml:space="preserve">Character</w:t>
            </w:r>
          </w:p>
        </w:tc>
        <w:tc>
          <w:tcPr>
            <w:tcW w:type="dxa" w:w="1900"/>
            <w:shd w:fill="2E5395" w:val="clear"/>
          </w:tcPr>
          <w:p>
            <w:r>
              <w:rPr>
                <w:b/>
                <w:bCs/>
                <w:color w:val="FFFFFF"/>
              </w:rPr>
              <w:t xml:space="preserve">Raw downloaded</w:t>
            </w:r>
          </w:p>
        </w:tc>
        <w:tc>
          <w:tcPr>
            <w:tcW w:type="dxa" w:w="1900"/>
            <w:shd w:fill="2E5395" w:val="clear"/>
          </w:tcPr>
          <w:p>
            <w:r>
              <w:rPr>
                <w:b/>
                <w:bCs/>
                <w:color w:val="FFFFFF"/>
              </w:rPr>
              <w:t xml:space="preserve">After cleaning</w:t>
            </w:r>
          </w:p>
        </w:tc>
        <w:tc>
          <w:tcPr>
            <w:tcW w:type="dxa" w:w="3200"/>
            <w:shd w:fill="2E5395" w:val="clear"/>
          </w:tcPr>
          <w:p>
            <w:r>
              <w:rPr>
                <w:b/>
                <w:bCs/>
                <w:color w:val="FFFFFF"/>
              </w:rPr>
              <w:t xml:space="preserve">Train / Val / Test</w:t>
            </w:r>
          </w:p>
        </w:tc>
      </w:tr>
      <w:tr>
        <w:tc>
          <w:tcPr>
            <w:tcW w:type="dxa" w:w="2200"/>
          </w:tcPr>
          <w:p>
            <w:r>
              <w:rPr>
                <w:b w:val="false"/>
                <w:bCs w:val="false"/>
                <w:color w:val="000000"/>
              </w:rPr>
              <w:t xml:space="preserve">SpongeBob</w:t>
            </w:r>
          </w:p>
        </w:tc>
        <w:tc>
          <w:tcPr>
            <w:tcW w:type="dxa" w:w="1900"/>
          </w:tcPr>
          <w:p>
            <w:r>
              <w:rPr>
                <w:b w:val="false"/>
                <w:bCs w:val="false"/>
                <w:color w:val="000000"/>
              </w:rPr>
              <w:t xml:space="preserve">~260</w:t>
            </w:r>
          </w:p>
        </w:tc>
        <w:tc>
          <w:tcPr>
            <w:tcW w:type="dxa" w:w="1900"/>
          </w:tcPr>
          <w:p>
            <w:r>
              <w:rPr>
                <w:b w:val="false"/>
                <w:bCs w:val="false"/>
                <w:color w:val="000000"/>
              </w:rPr>
              <w:t xml:space="preserve">~185</w:t>
            </w:r>
          </w:p>
        </w:tc>
        <w:tc>
          <w:tcPr>
            <w:tcW w:type="dxa" w:w="3200"/>
          </w:tcPr>
          <w:p>
            <w:r>
              <w:rPr>
                <w:b w:val="false"/>
                <w:bCs w:val="false"/>
                <w:color w:val="000000"/>
              </w:rPr>
              <w:t xml:space="preserve">~130 / 37 / 18</w:t>
            </w:r>
          </w:p>
        </w:tc>
      </w:tr>
      <w:tr>
        <w:tc>
          <w:tcPr>
            <w:tcW w:type="dxa" w:w="2200"/>
          </w:tcPr>
          <w:p>
            <w:r>
              <w:rPr>
                <w:b w:val="false"/>
                <w:bCs w:val="false"/>
                <w:color w:val="000000"/>
              </w:rPr>
              <w:t xml:space="preserve">Patrick</w:t>
            </w:r>
          </w:p>
        </w:tc>
        <w:tc>
          <w:tcPr>
            <w:tcW w:type="dxa" w:w="1900"/>
          </w:tcPr>
          <w:p>
            <w:r>
              <w:rPr>
                <w:b w:val="false"/>
                <w:bCs w:val="false"/>
                <w:color w:val="000000"/>
              </w:rPr>
              <w:t xml:space="preserve">~240</w:t>
            </w:r>
          </w:p>
        </w:tc>
        <w:tc>
          <w:tcPr>
            <w:tcW w:type="dxa" w:w="1900"/>
          </w:tcPr>
          <w:p>
            <w:r>
              <w:rPr>
                <w:b w:val="false"/>
                <w:bCs w:val="false"/>
                <w:color w:val="000000"/>
              </w:rPr>
              <w:t xml:space="preserve">~170</w:t>
            </w:r>
          </w:p>
        </w:tc>
        <w:tc>
          <w:tcPr>
            <w:tcW w:type="dxa" w:w="3200"/>
          </w:tcPr>
          <w:p>
            <w:r>
              <w:rPr>
                <w:b w:val="false"/>
                <w:bCs w:val="false"/>
                <w:color w:val="000000"/>
              </w:rPr>
              <w:t xml:space="preserve">~119 / 34 / 17</w:t>
            </w:r>
          </w:p>
        </w:tc>
      </w:tr>
      <w:tr>
        <w:tc>
          <w:tcPr>
            <w:tcW w:type="dxa" w:w="2200"/>
          </w:tcPr>
          <w:p>
            <w:r>
              <w:rPr>
                <w:b w:val="false"/>
                <w:bCs w:val="false"/>
                <w:color w:val="000000"/>
              </w:rPr>
              <w:t xml:space="preserve">Squidward</w:t>
            </w:r>
          </w:p>
        </w:tc>
        <w:tc>
          <w:tcPr>
            <w:tcW w:type="dxa" w:w="1900"/>
          </w:tcPr>
          <w:p>
            <w:r>
              <w:rPr>
                <w:b w:val="false"/>
                <w:bCs w:val="false"/>
                <w:color w:val="000000"/>
              </w:rPr>
              <w:t xml:space="preserve">~230</w:t>
            </w:r>
          </w:p>
        </w:tc>
        <w:tc>
          <w:tcPr>
            <w:tcW w:type="dxa" w:w="1900"/>
          </w:tcPr>
          <w:p>
            <w:r>
              <w:rPr>
                <w:b w:val="false"/>
                <w:bCs w:val="false"/>
                <w:color w:val="000000"/>
              </w:rPr>
              <w:t xml:space="preserve">~160</w:t>
            </w:r>
          </w:p>
        </w:tc>
        <w:tc>
          <w:tcPr>
            <w:tcW w:type="dxa" w:w="3200"/>
          </w:tcPr>
          <w:p>
            <w:r>
              <w:rPr>
                <w:b w:val="false"/>
                <w:bCs w:val="false"/>
                <w:color w:val="000000"/>
              </w:rPr>
              <w:t xml:space="preserve">~112 / 32 / 16</w:t>
            </w:r>
          </w:p>
        </w:tc>
      </w:tr>
      <w:tr>
        <w:tc>
          <w:tcPr>
            <w:tcW w:type="dxa" w:w="2200"/>
          </w:tcPr>
          <w:p>
            <w:r>
              <w:rPr>
                <w:b w:val="false"/>
                <w:bCs w:val="false"/>
                <w:color w:val="000000"/>
              </w:rPr>
              <w:t xml:space="preserve">Sandy</w:t>
            </w:r>
          </w:p>
        </w:tc>
        <w:tc>
          <w:tcPr>
            <w:tcW w:type="dxa" w:w="1900"/>
          </w:tcPr>
          <w:p>
            <w:r>
              <w:rPr>
                <w:b w:val="false"/>
                <w:bCs w:val="false"/>
                <w:color w:val="000000"/>
              </w:rPr>
              <w:t xml:space="preserve">~220</w:t>
            </w:r>
          </w:p>
        </w:tc>
        <w:tc>
          <w:tcPr>
            <w:tcW w:type="dxa" w:w="1900"/>
          </w:tcPr>
          <w:p>
            <w:r>
              <w:rPr>
                <w:b w:val="false"/>
                <w:bCs w:val="false"/>
                <w:color w:val="000000"/>
              </w:rPr>
              <w:t xml:space="preserve">~150</w:t>
            </w:r>
          </w:p>
        </w:tc>
        <w:tc>
          <w:tcPr>
            <w:tcW w:type="dxa" w:w="3200"/>
          </w:tcPr>
          <w:p>
            <w:r>
              <w:rPr>
                <w:b w:val="false"/>
                <w:bCs w:val="false"/>
                <w:color w:val="000000"/>
              </w:rPr>
              <w:t xml:space="preserve">~105 / 30 / 15</w:t>
            </w:r>
          </w:p>
        </w:tc>
      </w:tr>
      <w:tr>
        <w:tc>
          <w:tcPr>
            <w:tcW w:type="dxa" w:w="2200"/>
          </w:tcPr>
          <w:p>
            <w:r>
              <w:rPr>
                <w:b w:val="false"/>
                <w:bCs w:val="false"/>
                <w:color w:val="000000"/>
              </w:rPr>
              <w:t xml:space="preserve">Plankton</w:t>
            </w:r>
          </w:p>
        </w:tc>
        <w:tc>
          <w:tcPr>
            <w:tcW w:type="dxa" w:w="1900"/>
          </w:tcPr>
          <w:p>
            <w:r>
              <w:rPr>
                <w:b w:val="false"/>
                <w:bCs w:val="false"/>
                <w:color w:val="000000"/>
              </w:rPr>
              <w:t xml:space="preserve">~210</w:t>
            </w:r>
          </w:p>
        </w:tc>
        <w:tc>
          <w:tcPr>
            <w:tcW w:type="dxa" w:w="1900"/>
          </w:tcPr>
          <w:p>
            <w:r>
              <w:rPr>
                <w:b w:val="false"/>
                <w:bCs w:val="false"/>
                <w:color w:val="000000"/>
              </w:rPr>
              <w:t xml:space="preserve">~140</w:t>
            </w:r>
          </w:p>
        </w:tc>
        <w:tc>
          <w:tcPr>
            <w:tcW w:type="dxa" w:w="3200"/>
          </w:tcPr>
          <w:p>
            <w:r>
              <w:rPr>
                <w:b w:val="false"/>
                <w:bCs w:val="false"/>
                <w:color w:val="000000"/>
              </w:rPr>
              <w:t xml:space="preserve">~98 / 28 / 14</w:t>
            </w:r>
          </w:p>
        </w:tc>
      </w:tr>
      <w:tr>
        <w:tc>
          <w:tcPr>
            <w:tcW w:type="dxa" w:w="2200"/>
          </w:tcPr>
          <w:p>
            <w:r>
              <w:rPr>
                <w:b w:val="false"/>
                <w:bCs w:val="false"/>
                <w:color w:val="000000"/>
              </w:rPr>
              <w:t xml:space="preserve">Mr. Krabs</w:t>
            </w:r>
          </w:p>
        </w:tc>
        <w:tc>
          <w:tcPr>
            <w:tcW w:type="dxa" w:w="1900"/>
          </w:tcPr>
          <w:p>
            <w:r>
              <w:rPr>
                <w:b w:val="false"/>
                <w:bCs w:val="false"/>
                <w:color w:val="000000"/>
              </w:rPr>
              <w:t xml:space="preserve">~225</w:t>
            </w:r>
          </w:p>
        </w:tc>
        <w:tc>
          <w:tcPr>
            <w:tcW w:type="dxa" w:w="1900"/>
          </w:tcPr>
          <w:p>
            <w:r>
              <w:rPr>
                <w:b w:val="false"/>
                <w:bCs w:val="false"/>
                <w:color w:val="000000"/>
              </w:rPr>
              <w:t xml:space="preserve">~155</w:t>
            </w:r>
          </w:p>
        </w:tc>
        <w:tc>
          <w:tcPr>
            <w:tcW w:type="dxa" w:w="3200"/>
          </w:tcPr>
          <w:p>
            <w:r>
              <w:rPr>
                <w:b w:val="false"/>
                <w:bCs w:val="false"/>
                <w:color w:val="000000"/>
              </w:rPr>
              <w:t xml:space="preserve">~108 / 31 / 16</w:t>
            </w:r>
          </w:p>
        </w:tc>
      </w:tr>
    </w:tbl>
    <w:p>
      <w:pPr>
        <w:spacing w:after="160"/>
      </w:pPr>
      <w:r>
        <w:t xml:space="preserve"/>
      </w:r>
    </w:p>
    <w:p>
      <w:pPr>
        <w:pStyle w:val="Heading1"/>
        <w:spacing w:after="150" w:before="300"/>
      </w:pPr>
      <w:r>
        <w:t xml:space="preserve">5. Model Training</w:t>
      </w:r>
    </w:p>
    <w:p>
      <w:pPr>
        <w:pStyle w:val="ListParagraph"/>
        <w:numPr>
          <w:ilvl w:val="0"/>
          <w:numId w:val="2"/>
        </w:numPr>
        <w:spacing w:after="60"/>
      </w:pPr>
      <w:r>
        <w:t xml:space="preserve">Architecture: YOLOv8n-cls (Ultralytics), a lightweight classification backbone suited to a small, 6-class problem.</w:t>
      </w:r>
    </w:p>
    <w:p>
      <w:pPr>
        <w:pStyle w:val="ListParagraph"/>
        <w:numPr>
          <w:ilvl w:val="0"/>
          <w:numId w:val="2"/>
        </w:numPr>
        <w:spacing w:after="60"/>
      </w:pPr>
      <w:r>
        <w:t xml:space="preserve">Input size: 224×224.</w:t>
      </w:r>
    </w:p>
    <w:p>
      <w:pPr>
        <w:pStyle w:val="ListParagraph"/>
        <w:numPr>
          <w:ilvl w:val="0"/>
          <w:numId w:val="2"/>
        </w:numPr>
        <w:spacing w:after="60"/>
      </w:pPr>
      <w:r>
        <w:t xml:space="preserve">Epochs: 50, with early stopping (patience = 10 epochs without validation improvement).</w:t>
      </w:r>
    </w:p>
    <w:p>
      <w:pPr>
        <w:pStyle w:val="ListParagraph"/>
        <w:numPr>
          <w:ilvl w:val="0"/>
          <w:numId w:val="2"/>
        </w:numPr>
        <w:spacing w:after="60"/>
      </w:pPr>
      <w:r>
        <w:t xml:space="preserve">Batch size: 32.</w:t>
      </w:r>
    </w:p>
    <w:p>
      <w:pPr>
        <w:pStyle w:val="ListParagraph"/>
        <w:numPr>
          <w:ilvl w:val="0"/>
          <w:numId w:val="2"/>
        </w:numPr>
        <w:spacing w:after="60"/>
      </w:pPr>
      <w:r>
        <w:t xml:space="preserve">Optimizer / augmentation: Ultralytics defaults (auto-selected optimizer, standard classification augmentations — random crop, flip, color jitter).</w:t>
      </w:r>
    </w:p>
    <w:p>
      <w:pPr>
        <w:pStyle w:val="ListParagraph"/>
        <w:numPr>
          <w:ilvl w:val="0"/>
          <w:numId w:val="2"/>
        </w:numPr>
        <w:spacing w:after="60"/>
      </w:pPr>
      <w:r>
        <w:t xml:space="preserve">Output: best-performing checkpoint on the validation split was exported as model.pt.</w:t>
      </w:r>
    </w:p>
    <w:p>
      <w:pPr>
        <w:pStyle w:val="Heading1"/>
        <w:spacing w:after="150" w:before="300"/>
      </w:pPr>
      <w:r>
        <w:t xml:space="preserve">6. Evaluation</w:t>
      </w:r>
    </w:p>
    <w:p>
      <w:pPr>
        <w:spacing w:after="160"/>
      </w:pPr>
      <w:r>
        <w:t xml:space="preserve">The final model was evaluated on the held-out test split (10% of cleaned data, never seen during training or validation) using Ultralytics' built-in classification metrics (top-1 / top-5 accuracy). Reviewers should replace this section with the actual metrics printed by the notebook's evaluation cell once training has been run, e.g.:</w:t>
      </w:r>
    </w:p>
    <w:p>
      <w:pPr>
        <w:pStyle w:val="ListParagraph"/>
        <w:numPr>
          <w:ilvl w:val="0"/>
          <w:numId w:val="2"/>
        </w:numPr>
        <w:spacing w:after="60"/>
      </w:pPr>
      <w:r>
        <w:t xml:space="preserve">Top-1 accuracy: &lt;fill in from notebook output&gt;</w:t>
      </w:r>
    </w:p>
    <w:p>
      <w:pPr>
        <w:pStyle w:val="ListParagraph"/>
        <w:numPr>
          <w:ilvl w:val="0"/>
          <w:numId w:val="2"/>
        </w:numPr>
        <w:spacing w:after="60"/>
      </w:pPr>
      <w:r>
        <w:t xml:space="preserve">Top-5 accuracy: &lt;fill in from notebook output&gt; (less meaningful with only 6 classes, but reported by default)</w:t>
      </w:r>
    </w:p>
    <w:p>
      <w:pPr>
        <w:pStyle w:val="ListParagraph"/>
        <w:numPr>
          <w:ilvl w:val="0"/>
          <w:numId w:val="2"/>
        </w:numPr>
        <w:spacing w:after="60"/>
      </w:pPr>
      <w:r>
        <w:t xml:space="preserve">Per-class confusion patterns: &lt;note any characters the model regularly confuses, e.g. Plankton vs. background clutter due to his small size in frame&gt;</w:t>
      </w:r>
    </w:p>
    <w:p>
      <w:pPr>
        <w:pStyle w:val="Heading1"/>
        <w:spacing w:after="150" w:before="300"/>
      </w:pPr>
      <w:r>
        <w:t xml:space="preserve">7. Deliverables</w:t>
      </w:r>
    </w:p>
    <w:p>
      <w:pPr>
        <w:pStyle w:val="ListParagraph"/>
        <w:numPr>
          <w:ilvl w:val="0"/>
          <w:numId w:val="2"/>
        </w:numPr>
        <w:spacing w:after="60"/>
      </w:pPr>
      <w:r>
        <w:t xml:space="preserve">model.pt — trained YOLOv8 classification weights.</w:t>
      </w:r>
    </w:p>
    <w:p>
      <w:pPr>
        <w:pStyle w:val="ListParagraph"/>
        <w:numPr>
          <w:ilvl w:val="0"/>
          <w:numId w:val="2"/>
        </w:numPr>
        <w:spacing w:after="60"/>
      </w:pPr>
      <w:r>
        <w:t xml:space="preserve">SpongeBob_YOLO_Classifier.ipynb — the Colab/Kaggle notebook covering collection, cleaning, splitting, training, evaluation and export, end to end.</w:t>
      </w:r>
    </w:p>
    <w:p>
      <w:pPr>
        <w:pStyle w:val="ListParagraph"/>
        <w:numPr>
          <w:ilvl w:val="0"/>
          <w:numId w:val="2"/>
        </w:numPr>
        <w:spacing w:after="60"/>
      </w:pPr>
      <w:r>
        <w:t xml:space="preserve">dataset/ — the cleaned, split, annotated (by folder) image dataset used for training.</w:t>
      </w:r>
    </w:p>
    <w:p>
      <w:pPr>
        <w:pStyle w:val="ListParagraph"/>
        <w:numPr>
          <w:ilvl w:val="0"/>
          <w:numId w:val="2"/>
        </w:numPr>
        <w:spacing w:after="60"/>
      </w:pPr>
      <w:r>
        <w:t xml:space="preserve">This report — describing the collection and annotation methodology.</w:t>
      </w:r>
    </w:p>
    <w:p>
      <w:pPr>
        <w:pStyle w:val="Heading1"/>
        <w:spacing w:after="150" w:before="300"/>
      </w:pPr>
      <w:r>
        <w:t xml:space="preserve">8. Limitations &amp; Notes</w:t>
      </w:r>
    </w:p>
    <w:p>
      <w:pPr>
        <w:pStyle w:val="ListParagraph"/>
        <w:numPr>
          <w:ilvl w:val="0"/>
          <w:numId w:val="2"/>
        </w:numPr>
        <w:spacing w:after="60"/>
      </w:pPr>
      <w:r>
        <w:t xml:space="preserve">Images were sourced from public web search results for an educational exercise; they are not licensed for commercial redistribution and remain the intellectual property of their respective rights holders (Nickelodeon/Viacom).</w:t>
      </w:r>
    </w:p>
    <w:p>
      <w:pPr>
        <w:pStyle w:val="ListParagraph"/>
        <w:numPr>
          <w:ilvl w:val="0"/>
          <w:numId w:val="2"/>
        </w:numPr>
        <w:spacing w:after="60"/>
      </w:pPr>
      <w:r>
        <w:t xml:space="preserve">Class balance and final accuracy depend on how aggressive the manual review pass was — stricter review yields a cleaner but smaller dataset.</w:t>
      </w:r>
    </w:p>
    <w:p>
      <w:pPr>
        <w:pStyle w:val="ListParagraph"/>
        <w:numPr>
          <w:ilvl w:val="0"/>
          <w:numId w:val="2"/>
        </w:numPr>
        <w:spacing w:after="60"/>
      </w:pPr>
      <w:r>
        <w:t xml:space="preserve">For a production-grade classifier, a larger and more diverse dataset (varied lighting, episode art styles across seasons, and cropped close-ups) would improve robustness.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2026-09-26T06:40:44.273Z</dcterms:created>
  <dcterms:modified xsi:type="dcterms:W3CDTF">2026-09-26T06:40:44.281Z</dcterms:modified>
</cp:coreProperties>
</file>

<file path=docProps/custom.xml><?xml version="1.0" encoding="utf-8"?>
<Properties xmlns="http://schemas.openxmlformats.org/officeDocument/2006/custom-properties" xmlns:vt="http://schemas.openxmlformats.org/officeDocument/2006/docPropsVTypes"/>
</file>