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C9A15B"/>
          <w:sz w:val="64"/>
          <w:szCs w:val="64"/>
        </w:rPr>
        <w:t xml:space="preserve">KORA+</w:t>
      </w:r>
    </w:p>
    <w:p>
      <w:pPr>
        <w:spacing w:after="480" w:before="120"/>
        <w:jc w:val="center"/>
      </w:pPr>
      <w:r>
        <w:rPr>
          <w:b/>
          <w:bCs/>
          <w:color w:val="16161A"/>
          <w:sz w:val="28"/>
          <w:szCs w:val="28"/>
        </w:rPr>
        <w:t xml:space="preserve">ENGINEERING SPECIFICATION — ADDENDUM V1.1</w:t>
      </w:r>
    </w:p>
    <w:p>
      <w:pPr>
        <w:spacing w:after="600"/>
        <w:jc w:val="center"/>
      </w:pPr>
      <w:r>
        <w:rPr>
          <w:i/>
          <w:iCs/>
          <w:color w:val="6B6E76"/>
          <w:sz w:val="20"/>
          <w:szCs w:val="20"/>
        </w:rPr>
        <w:t xml:space="preserve">Complément court : nouveaux endpoints, TOTP admin, modèles Prisma ajoutés, Dashboard, Audit</w:t>
      </w: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Portée de ce document</w:t>
            </w:r>
          </w:p>
          <w:p>
            <w:r>
              <w:t xml:space="preserve">Cet addendum ne répète pas l'Engineering Specification V1 : il documente uniquement ce qui est nouveau ou corrigé suite à la revue de cohérence croisée (voir KORA_PLUS_Specification_Alignment_Register_V1.docx pour le contexte et les alternatives considérées). Pour tout le reste, l'Engineering Specification V1 reste intégralement en vigueur et fait autorité.</w:t>
            </w:r>
          </w:p>
        </w:tc>
      </w:tr>
    </w:tbl>
    <w:p>
      <w:r>
        <w:br w:type="page"/>
      </w:r>
    </w:p>
    <w:p>
      <w:pPr>
        <w:pStyle w:val="Heading1"/>
        <w:pBdr>
          <w:bottom w:val="single" w:color="C9A15B" w:sz="12" w:space="4"/>
        </w:pBdr>
        <w:spacing w:after="240" w:before="480"/>
      </w:pPr>
      <w:r>
        <w:rPr>
          <w:b/>
          <w:bCs/>
          <w:color w:val="16161A"/>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15B" w:sz="12" w:space="4"/>
        </w:pBdr>
        <w:spacing w:after="240" w:before="480"/>
      </w:pPr>
      <w:r>
        <w:rPr>
          <w:b/>
          <w:bCs/>
          <w:color w:val="16161A"/>
        </w:rPr>
        <w:t xml:space="preserve">1. Authentification admin — TOTP (remplace la 2FA par e-mail)</w:t>
      </w:r>
    </w:p>
    <w:p>
      <w:pPr>
        <w:spacing w:after="160"/>
      </w:pPr>
      <w:r>
        <w:t xml:space="preserve">Remplace intégralement le mécanisme de 2FA par e-mail décrit implicitement en V1. L'e-mail est désormais réservé aux alertes de sécurité, aux notifications de connexion et à la récupération du mot de passe — jamais un facteur d'authentification (ADR-002).</w:t>
      </w:r>
    </w:p>
    <w:p>
      <w:pPr>
        <w:pStyle w:val="Heading2"/>
        <w:spacing w:after="180" w:before="360"/>
      </w:pPr>
      <w:r>
        <w:rPr>
          <w:b/>
          <w:bCs/>
          <w:color w:val="16161A"/>
        </w:rPr>
        <w:t xml:space="preserve">1.1 Paramètres techniques</w:t>
      </w:r>
    </w:p>
    <w:p>
      <w:pPr>
        <w:pStyle w:val="ListParagraph"/>
        <w:numPr>
          <w:ilvl w:val="0"/>
          <w:numId w:val="1"/>
        </w:numPr>
        <w:spacing w:after="60"/>
      </w:pPr>
      <w:r>
        <w:t xml:space="preserve">Algorithme : TOTP conforme RFC 6238, HMAC-SHA1, 6 chiffres, pas de 30 secondes, fenêtre de tolérance ±1 pas (compense la dérive d'horloge).</w:t>
      </w:r>
    </w:p>
    <w:p>
      <w:pPr>
        <w:pStyle w:val="ListParagraph"/>
        <w:numPr>
          <w:ilvl w:val="0"/>
          <w:numId w:val="1"/>
        </w:numPr>
        <w:spacing w:after="60"/>
      </w:pPr>
      <w:r>
        <w:t xml:space="preserve">Secret : 160 bits (20 octets), encodé Base32 pour l'affichage/QR, chiffré au repos (AES-256-GCM, même famille de chiffrement que les licences offline, cf. Engineering V1 §9.7) — jamais stocké ni journalisé en clair.</w:t>
      </w:r>
    </w:p>
    <w:p>
      <w:pPr>
        <w:pStyle w:val="ListParagraph"/>
        <w:numPr>
          <w:ilvl w:val="0"/>
          <w:numId w:val="1"/>
        </w:numPr>
        <w:spacing w:after="60"/>
      </w:pPr>
      <w:r>
        <w:t xml:space="preserve">QR code : généré côté serveur au format otpauth://totp/KORA%2B:{email}?secret={base32}&amp;issuer=KORA%2B, jamais transmis en image statique pré-générée.</w:t>
      </w:r>
    </w:p>
    <w:p>
      <w:pPr>
        <w:pStyle w:val="ListParagraph"/>
        <w:numPr>
          <w:ilvl w:val="0"/>
          <w:numId w:val="1"/>
        </w:numPr>
        <w:spacing w:after="60"/>
      </w:pPr>
      <w:r>
        <w:t xml:space="preserve">Anti-rejeu : chaque code TOTP validé est marqué consommé pour sa fenêtre temporelle (clé Redis TTL 90s) — un même code ne peut jamais être accepté deux fois, même dans sa fenêtre de validité.</w:t>
      </w:r>
    </w:p>
    <w:p>
      <w:pPr>
        <w:pStyle w:val="ListParagraph"/>
        <w:numPr>
          <w:ilvl w:val="0"/>
          <w:numId w:val="1"/>
        </w:numPr>
        <w:spacing w:after="60"/>
      </w:pPr>
      <w:r>
        <w:t xml:space="preserve">Verrouillage : 5 échecs consécutifs (TOTP ou code de secours confondus) verrouillent le compte 15 minutes ; le compteur est remis à zéro après une vérification réussie.</w:t>
      </w:r>
    </w:p>
    <w:p>
      <w:pPr>
        <w:pStyle w:val="ListParagraph"/>
        <w:numPr>
          <w:ilvl w:val="0"/>
          <w:numId w:val="1"/>
        </w:numPr>
        <w:spacing w:after="60"/>
      </w:pPr>
      <w:r>
        <w:t xml:space="preserve">Codes de secours : 10 codes alphanumériques (10 caractères, format XXXX-XXXX-XX), générés à l'enrôlement puis à chaque régénération, stockés hachés (argon2id, même famille que les codes OTP mobile), affichés une seule fois, usage unique chacun.</w:t>
      </w:r>
    </w:p>
    <w:p>
      <w:pPr>
        <w:pStyle w:val="ListParagraph"/>
        <w:numPr>
          <w:ilvl w:val="0"/>
          <w:numId w:val="1"/>
        </w:numPr>
        <w:spacing w:after="60"/>
      </w:pPr>
      <w:r>
        <w:t xml:space="preserve">Librairie recommandée : otplib (ou équivalent NestJS-compatible) côté serveur pour la génération/vérification TOTP — choix d'implémentation, pas une contrainte d'architecture.</w:t>
      </w:r>
    </w:p>
    <w:p>
      <w:pPr>
        <w:pStyle w:val="Heading2"/>
        <w:spacing w:after="180" w:before="360"/>
      </w:pPr>
      <w:r>
        <w:rPr>
          <w:b/>
          <w:bCs/>
          <w:color w:val="16161A"/>
        </w:rPr>
        <w:t xml:space="preserve">1.2 « 2FA récente » — définition précise</w:t>
      </w:r>
    </w:p>
    <w:p>
      <w:pPr>
        <w:spacing w:after="160"/>
      </w:pPr>
      <w:r>
        <w:t xml:space="preserve">La notion de « 2FA récente » utilisée dans tous les documents KORA+ (Cahier des charges, Engineering, Back-Office) est désormais formellement définie : AdminSession.lastTwoFactorAt (horodatage de la dernière vérification TOTP ou code de secours réussie pour la session courante) doit être inférieur à 5 minutes au moment de l'action sensible. TwoFactorGuard lit cette valeur ; si elle est absente ou trop ancienne, la requête est rejetée (403 TWO_FACTOR_REQUIRED) et l'interface renvoie l'administrateur vers une ré-vérification TOTP contextuelle (pas un renvoi complet vers /login).</w:t>
      </w:r>
    </w:p>
    <w:p>
      <w:pPr>
        <w:pStyle w:val="Heading2"/>
        <w:spacing w:after="180" w:before="360"/>
      </w:pPr>
      <w:r>
        <w:rPr>
          <w:b/>
          <w:bCs/>
          <w:color w:val="16161A"/>
        </w:rPr>
        <w:t xml:space="preserve">1.3 Nouveaux endpoints</w:t>
      </w:r>
    </w:p>
    <w:p>
      <w:pPr>
        <w:pStyle w:val="Heading3"/>
        <w:spacing w:after="140" w:before="280"/>
      </w:pPr>
      <w:r>
        <w:rPr>
          <w:b/>
          <w:bCs/>
          <w:color w:val="8A6A2F"/>
        </w:rPr>
        <w:t xml:space="preserve">1.3.1 Connexion admin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/api/v1/admin/auth/login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5 / 15 min / (IP + e-mail)</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 "email": "admin@kora.plus", "password": "..." }</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"requiresTotpSetup": false, "requiresTotpVerify": true }, "meta":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INVALID_CREDENTIALS</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401</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E-mail ou mot de passe incorrect — message identique dans les deux cas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ACCOUNT_LOCKED</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423</w:t>
            </w:r>
          </w:p>
        </w:tc>
        <w:tc>
          <w:tcPr>
            <w:tcW w:type="dxa" w:w="5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Compte temporairement verrouillé après échecs répétés</w:t>
            </w:r>
          </w:p>
        </w:tc>
      </w:tr>
    </w:tbl>
    <w:p>
      <w:pPr>
        <w:spacing w:after="100"/>
      </w:pPr>
    </w:p>
    <w:p>
      <w:pPr>
        <w:pStyle w:val="ListParagraph"/>
        <w:numPr>
          <w:ilvl w:val="0"/>
          <w:numId w:val="1"/>
        </w:numPr>
        <w:spacing w:after="60"/>
      </w:pPr>
      <w:r>
        <w:t xml:space="preserve">Émet un cookie de pré-session httpOnly (courte durée, 5 min) liant cette connexion à l'étape TOTP suivante — aucun accès aux routes protégées tant que /2fa/verify (ou /2fa/setup) n'a pas réussi.</w:t>
      </w:r>
    </w:p>
    <w:p>
      <w:pPr>
        <w:spacing w:after="160"/>
      </w:pPr>
    </w:p>
    <w:p>
      <w:pPr>
        <w:pStyle w:val="Heading3"/>
        <w:spacing w:after="140" w:before="280"/>
      </w:pPr>
      <w:r>
        <w:rPr>
          <w:b/>
          <w:bCs/>
          <w:color w:val="8A6A2F"/>
        </w:rPr>
        <w:t xml:space="preserve">1.3.2 Enrôlement TOTP — génération du secret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/api/v1/admin/auth/2fa/setup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Pré-session admin (post-login, sans TOTP actif)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5 / heure / admin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Régénère le secret temporaire à chaque appel tant que non confirmé</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(aucun corps)</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"secretBase32": "JBSWY3DPEHPK3PXP", "otpauthUrl": "otpauth://totp/...", "qrCodeDataUrl": "data:image/png;base64,..." }, "meta":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TOTP_ALREADY_ENABLED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409</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totpEnabledAt déjà renseigné pour ce compte</w:t>
            </w:r>
          </w:p>
        </w:tc>
      </w:tr>
    </w:tbl>
    <w:p>
      <w:pPr>
        <w:spacing w:after="100"/>
      </w:pPr>
    </w:p>
    <w:p>
      <w:pPr>
        <w:pStyle w:val="ListParagraph"/>
        <w:numPr>
          <w:ilvl w:val="0"/>
          <w:numId w:val="1"/>
        </w:numPr>
        <w:spacing w:after="60"/>
      </w:pPr>
      <w:r>
        <w:t xml:space="preserve">Le secret n'est jamais actif tant que /2fa/confirm n'a pas validé un premier code.</w:t>
      </w:r>
    </w:p>
    <w:p>
      <w:pPr>
        <w:spacing w:after="160"/>
      </w:pPr>
    </w:p>
    <w:p>
      <w:pPr>
        <w:pStyle w:val="Heading3"/>
        <w:spacing w:after="140" w:before="280"/>
      </w:pPr>
      <w:r>
        <w:rPr>
          <w:b/>
          <w:bCs/>
          <w:color w:val="8A6A2F"/>
        </w:rPr>
        <w:t xml:space="preserve">1.3.3 Enrôlement TOTP — confirmation</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/api/v1/admin/auth/2fa/confirm</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Pré-session admin (post-setup)</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10 / heure / admin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 "code": "482913" }</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"totpEnabledAt": "2026-07-23T10:00:00Z", "recoveryCodes": ["A1B2-C3D4-E5", "..."] }, "meta":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TOTP_CODE_INVALID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400</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Code incorrect ou fenêtre expirée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TOTP_SETUP_NOT_FOUND</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404</w:t>
            </w:r>
          </w:p>
        </w:tc>
        <w:tc>
          <w:tcPr>
            <w:tcW w:type="dxa" w:w="5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/2fa/setup jamais appelé ou secret expiré (TTL 10 min)</w:t>
            </w:r>
          </w:p>
        </w:tc>
      </w:tr>
    </w:tbl>
    <w:p>
      <w:pPr>
        <w:spacing w:after="100"/>
      </w:pPr>
    </w:p>
    <w:p>
      <w:pPr>
        <w:pStyle w:val="ListParagraph"/>
        <w:numPr>
          <w:ilvl w:val="0"/>
          <w:numId w:val="1"/>
        </w:numPr>
        <w:spacing w:after="60"/>
      </w:pPr>
      <w:r>
        <w:t xml:space="preserve">Les 10 codes de secours sont générés et retournés une seule fois dans cette réponse — l'interface les affiche immédiatement (écran §6.2ter du Back-Office), jamais récupérables ensuite.</w:t>
      </w:r>
    </w:p>
    <w:p>
      <w:pPr>
        <w:spacing w:after="160"/>
      </w:pPr>
    </w:p>
    <w:p>
      <w:pPr>
        <w:pStyle w:val="Heading3"/>
        <w:spacing w:after="140" w:before="280"/>
      </w:pPr>
      <w:r>
        <w:rPr>
          <w:b/>
          <w:bCs/>
          <w:color w:val="8A6A2F"/>
        </w:rPr>
        <w:t xml:space="preserve">1.3.4 Vérification TOTP</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/api/v1/admin/auth/2fa/verify</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Pré-session admin (post-login, TOTP déjà actif)</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5 tentatives puis verrouillage 15 min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 "code": "482913" }</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"adminUser": { "id": "adm_1..", "email": "admin@kora.plus", "role": "finance_manager" } }, "meta":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TOTP_CODE_INVALID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400</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Code incorrect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TOTP_CODE_REUSED</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400</w:t>
            </w:r>
          </w:p>
        </w:tc>
        <w:tc>
          <w:tcPr>
            <w:tcW w:type="dxa" w:w="5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Code déjà consommé dans sa fenêtre temporelle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ACCOUNT_LOCKED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423</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5 échecs atteints</w:t>
            </w:r>
          </w:p>
        </w:tc>
      </w:tr>
    </w:tbl>
    <w:p>
      <w:pPr>
        <w:spacing w:after="100"/>
      </w:pPr>
    </w:p>
    <w:p>
      <w:pPr>
        <w:pStyle w:val="ListParagraph"/>
        <w:numPr>
          <w:ilvl w:val="0"/>
          <w:numId w:val="1"/>
        </w:numPr>
        <w:spacing w:after="60"/>
      </w:pPr>
      <w:r>
        <w:t xml:space="preserve">Émet les cookies de session définitifs (access + refresh, httpOnly/Secure/SameSite) et crée la ligne AdminSession avec lastTwoFactorAt = maintenant.</w:t>
      </w:r>
    </w:p>
    <w:p>
      <w:pPr>
        <w:spacing w:after="160"/>
      </w:pPr>
    </w:p>
    <w:p>
      <w:pPr>
        <w:pStyle w:val="Heading3"/>
        <w:spacing w:after="140" w:before="280"/>
      </w:pPr>
      <w:r>
        <w:rPr>
          <w:b/>
          <w:bCs/>
          <w:color w:val="8A6A2F"/>
        </w:rPr>
        <w:t xml:space="preserve">1.3.5 Connexion via code de secours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/api/v1/admin/auth/2fa/recovery-code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Pré-session admin (alternative à 1.3.4)</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Partage le même compteur d'échecs que 1.3.4</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 "recoveryCode": "A1B2-C3D4-E5" }</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"adminUser": { "id": "adm_1..", "email": "admin@kora.plus", "role": "finance_manager" }, "remainingRecoveryCodes": 9 }, "meta":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RECOVERY_CODE_INVALID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400</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Code inconnu</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RECOVERY_CODE_ALREADY_USED</w:t>
            </w:r>
          </w:p>
        </w:tc>
        <w:tc>
          <w:tcPr>
            <w:tcW w:type="dxa" w:w="1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400</w:t>
            </w:r>
          </w:p>
        </w:tc>
        <w:tc>
          <w:tcPr>
            <w:tcW w:type="dxa" w:w="57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Code déjà consommé</w:t>
            </w:r>
          </w:p>
        </w:tc>
      </w:tr>
    </w:tbl>
    <w:p>
      <w:pPr>
        <w:spacing w:after="100"/>
      </w:pPr>
    </w:p>
    <w:p>
      <w:pPr>
        <w:pStyle w:val="ListParagraph"/>
        <w:numPr>
          <w:ilvl w:val="0"/>
          <w:numId w:val="1"/>
        </w:numPr>
        <w:spacing w:after="60"/>
      </w:pPr>
      <w:r>
        <w:t xml:space="preserve">remainingRecoveryCodes permet à l'interface de suggérer une régénération lorsque le stock est bas (ex. ≤ 2 codes restants).</w:t>
      </w:r>
    </w:p>
    <w:p>
      <w:pPr>
        <w:spacing w:after="160"/>
      </w:pPr>
    </w:p>
    <w:p>
      <w:pPr>
        <w:pStyle w:val="Heading3"/>
        <w:spacing w:after="140" w:before="280"/>
      </w:pPr>
      <w:r>
        <w:rPr>
          <w:b/>
          <w:bCs/>
          <w:color w:val="8A6A2F"/>
        </w:rPr>
        <w:t xml:space="preserve">1.3.6 Régénération des codes de secours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/api/v1/admin/auth/2fa/recovery-codes/regenerate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Session admin + 2FA récente (&lt; 5 min)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3 / jour / admin</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(aucun corps)</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"recoveryCodes": ["...10 codes..."] }, "meta":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TWO_FACTOR_REQUIRED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403</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AdminSession.lastTwoFactorAt absente ou &gt; 5 min</w:t>
            </w:r>
          </w:p>
        </w:tc>
      </w:tr>
    </w:tbl>
    <w:p>
      <w:pPr>
        <w:spacing w:after="100"/>
      </w:pPr>
    </w:p>
    <w:p>
      <w:pPr>
        <w:pStyle w:val="ListParagraph"/>
        <w:numPr>
          <w:ilvl w:val="0"/>
          <w:numId w:val="1"/>
        </w:numPr>
        <w:spacing w:after="60"/>
      </w:pPr>
      <w:r>
        <w:t xml:space="preserve">Invalide immédiatement et intégralement l'ancien lot de codes — aucune période de grâce.</w:t>
      </w:r>
    </w:p>
    <w:p>
      <w:pPr>
        <w:spacing w:after="160"/>
      </w:pPr>
    </w:p>
    <w:p>
      <w:pPr>
        <w:pStyle w:val="Heading3"/>
        <w:spacing w:after="140" w:before="280"/>
      </w:pPr>
      <w:r>
        <w:rPr>
          <w:b/>
          <w:bCs/>
          <w:color w:val="8A6A2F"/>
        </w:rPr>
        <w:t xml:space="preserve">1.3.7 Récupération de compte (mot de passe uniquement)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POST /api/v1/admin/auth/password/reset-request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Publique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3 / heure / IP</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100"/>
      </w:pPr>
      <w:r>
        <w:rPr>
          <w:b/>
          <w:bCs/>
          <w:i/>
          <w:iCs/>
        </w:rPr>
        <w:t xml:space="preserve">Requête</w:t>
      </w:r>
    </w:p>
    <w:p>
      <w:pPr>
        <w:spacing w:after="100"/>
      </w:pPr>
      <w:r>
        <w:rPr>
          <w:rFonts w:ascii="Consolas" w:cs="Consolas" w:eastAsia="Consolas" w:hAnsi="Consolas"/>
          <w:sz w:val="18"/>
          <w:szCs w:val="18"/>
        </w:rPr>
        <w:t xml:space="preserve">{ "email": "admin@kora.plus" }</w:t>
      </w: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"received": true }, "meta": {} }</w:t>
      </w:r>
    </w:p>
    <w:p>
      <w:pPr>
        <w:pStyle w:val="ListParagraph"/>
        <w:numPr>
          <w:ilvl w:val="0"/>
          <w:numId w:val="1"/>
        </w:numPr>
        <w:spacing w:after="60"/>
      </w:pPr>
      <w:r>
        <w:t xml:space="preserve">Réponse strictement identique que le compte existe ou non (anti-énumération) — ne réinitialise jamais le TOTP ni les codes de secours.</w:t>
      </w:r>
    </w:p>
    <w:p>
      <w:pPr>
        <w:spacing w:after="160"/>
      </w:pPr>
    </w:p>
    <w:p>
      <w:r>
        <w:br w:type="page"/>
      </w:r>
    </w:p>
    <w:p>
      <w:pPr>
        <w:pStyle w:val="Heading1"/>
        <w:pBdr>
          <w:bottom w:val="single" w:color="C9A15B" w:sz="12" w:space="4"/>
        </w:pBdr>
        <w:spacing w:after="240" w:before="480"/>
      </w:pPr>
      <w:r>
        <w:rPr>
          <w:b/>
          <w:bCs/>
          <w:color w:val="16161A"/>
        </w:rPr>
        <w:t xml:space="preserve">2. Modèle Prisma — ajouts</w:t>
      </w:r>
    </w:p>
    <w:p>
      <w:pPr>
        <w:spacing w:after="160"/>
      </w:pPr>
      <w:r>
        <w:t xml:space="preserve">Aucun modèle existant n'est modifié en profondeur ; seuls les ajouts strictement indispensables ci-dessous complètent le schéma de l'Engineering Specification V1 §4.</w:t>
      </w:r>
    </w:p>
    <w:p>
      <w:pPr>
        <w:pStyle w:val="Heading2"/>
        <w:spacing w:after="180" w:before="360"/>
      </w:pPr>
      <w:r>
        <w:rPr>
          <w:b/>
          <w:bCs/>
          <w:color w:val="16161A"/>
        </w:rPr>
        <w:t xml:space="preserve">2.1 AdminUser — champs ajoutés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600"/>
        <w:gridCol w:w="2400"/>
        <w:gridCol w:w="2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16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Nullable</w:t>
            </w:r>
          </w:p>
        </w:tc>
        <w:tc>
          <w:tcPr>
            <w:tcW w:type="dxa" w:w="2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totpSecretEncrypted</w:t>
            </w:r>
          </w:p>
        </w:tc>
        <w:tc>
          <w:tcPr>
            <w:tcW w:type="dxa" w:w="1600"/>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Oui (null tant que non enrôlé)</w:t>
            </w:r>
          </w:p>
        </w:tc>
        <w:tc>
          <w:tcPr>
            <w:tcW w:type="dxa" w:w="2960"/>
            <w:tcMar>
              <w:top w:type="dxa" w:w="80"/>
              <w:left w:type="dxa" w:w="100"/>
              <w:bottom w:type="dxa" w:w="80"/>
              <w:right w:type="dxa" w:w="100"/>
            </w:tcMar>
            <w:vAlign w:val="center"/>
          </w:tcPr>
          <w:p>
            <w:pPr>
              <w:jc w:val="left"/>
            </w:pPr>
            <w:r>
              <w:rPr>
                <w:b w:val="false"/>
                <w:bCs w:val="false"/>
                <w:i w:val="false"/>
                <w:iCs w:val="false"/>
                <w:sz w:val="19"/>
                <w:szCs w:val="19"/>
              </w:rPr>
              <w:t xml:space="preserve">Secret TOTP chiffré AES-256-GCM, jamais en clair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totpEnabledAt</w:t>
            </w:r>
          </w:p>
        </w:tc>
        <w:tc>
          <w:tcPr>
            <w:tcW w:type="dxa" w:w="16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Oui (null tant que non confirmé)</w:t>
            </w:r>
          </w:p>
        </w:tc>
        <w:tc>
          <w:tcPr>
            <w:tcW w:type="dxa" w:w="2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Renseigné uniquement après un premier code TOTP validé (POST /2fa/confirm)</w:t>
            </w:r>
          </w:p>
        </w:tc>
      </w:tr>
    </w:tbl>
    <w:p>
      <w:pPr>
        <w:pStyle w:val="Heading2"/>
        <w:spacing w:after="180" w:before="360"/>
      </w:pPr>
      <w:r>
        <w:rPr>
          <w:b/>
          <w:bCs/>
          <w:color w:val="16161A"/>
        </w:rPr>
        <w:t xml:space="preserve">2.2 AdminSession (nouveau modèle)</w:t>
      </w:r>
    </w:p>
    <w:p>
      <w:pPr>
        <w:spacing w:after="160"/>
      </w:pPr>
      <w:r>
        <w:t xml:space="preserve">Mirroir du modèle Session existant (mobile), nécessaire pour persister la session admin côté serveur et rendre possible (a) la révocation immédiate et (b) le suivi de la fraîcheur de la 2FA — absent du schéma V1, ce qui rendait TwoFactorGuard techniquement invérifiable.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2200"/>
        <w:gridCol w:w="516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 @id</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uuid()</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adminUserId</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FK → AdminUser</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jwtId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 @unique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Identifiant du token d'accès courant</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lastTwoFactorAt</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Horodatage de la dernière vérification TOTP/code de secours réussie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expiresAt</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Fin de vie de la session (8h glissantes, cf. §2.4)</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revokedAt</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Renseigné si révoquée manuellement ou par expiration forcée</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createdAt</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@default(now())</w:t>
            </w:r>
          </w:p>
        </w:tc>
      </w:tr>
    </w:tbl>
    <w:p>
      <w:pPr>
        <w:spacing w:after="160"/>
      </w:pPr>
      <w:r>
        <w:t xml:space="preserve">Index : @@index([adminUserId, revokedAt])</w:t>
      </w:r>
    </w:p>
    <w:p>
      <w:pPr>
        <w:pStyle w:val="Heading2"/>
        <w:spacing w:after="180" w:before="360"/>
      </w:pPr>
      <w:r>
        <w:rPr>
          <w:b/>
          <w:bCs/>
          <w:color w:val="16161A"/>
        </w:rPr>
        <w:t xml:space="preserve">2.3 AdminRecoveryCode (nouveau modèle)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2200"/>
        <w:gridCol w:w="516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 @id</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uuid()</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adminUserId</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FK → AdminUser</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codeHash</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argon2id, jamais le code en clair</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usedAt</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Renseigné à la première consommation, jamais réinitialisé</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createdAt</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@default(now())</w:t>
            </w:r>
          </w:p>
        </w:tc>
      </w:tr>
    </w:tbl>
    <w:p>
      <w:pPr>
        <w:spacing w:after="160"/>
      </w:pPr>
      <w:r>
        <w:t xml:space="preserve">Index : @@index([adminUserId])</w:t>
      </w:r>
    </w:p>
    <w:p>
      <w:pPr>
        <w:pStyle w:val="Heading2"/>
        <w:spacing w:after="180" w:before="360"/>
      </w:pPr>
      <w:r>
        <w:rPr>
          <w:b/>
          <w:bCs/>
          <w:color w:val="16161A"/>
        </w:rPr>
        <w:t xml:space="preserve">2.4 Durée de session admin — décision technique</w:t>
      </w:r>
    </w:p>
    <w:p>
      <w:pPr>
        <w:spacing w:after="160"/>
      </w:pPr>
      <w:r>
        <w:t xml:space="preserve">Access token : 15 minutes (signature RS256, réutilise l'infrastructure de signature existante, cf. Engineering V1 §9.1). Refresh token : cookie httpOnly, 8 heures glissantes (une journée de travail), jamais au-delà de 8h d'inactivité sans re-authentification complète (login + TOTP). Ce paramètre est distinct et plus court que la session mobile (30 jours), cohérent avec la sensibilité plus élevée d'un accès back-office.</w:t>
      </w:r>
    </w:p>
    <w:p>
      <w:pPr>
        <w:pStyle w:val="Heading2"/>
        <w:spacing w:after="180" w:before="360"/>
      </w:pPr>
      <w:r>
        <w:rPr>
          <w:b/>
          <w:bCs/>
          <w:color w:val="16161A"/>
        </w:rPr>
        <w:t xml:space="preserve">2.5 Banner (nouveau modèle)</w:t>
      </w:r>
    </w:p>
    <w:p>
      <w:pPr>
        <w:spacing w:after="160"/>
      </w:pPr>
      <w:r>
        <w:t xml:space="preserve">Le Cahier des charges §16.1 liste « Bannières éditoriales » comme fonction du module Catalogue, et le Back-Office la spécifie (§6.25), mais aucun modèle ne l'implémentait.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2200"/>
        <w:gridCol w:w="516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 @id</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uuid()</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title</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Titre interne (non affiché publiquement)</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imageUrl</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Cover R2, mêmes contraintes de compression que Content.coverUrl</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linkType</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enum BannerLinkType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content | category | external</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linkTargetId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Id du Content ou de la Category ciblé (selon linkType)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linkUrl</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Utilisé uniquement si linkType = external</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startsAt</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Début d'affichage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endsAt</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Fin d'affichage (null = indéfini)</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isActive</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Boolean</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@default(true)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createdByAdminId</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FK → AdminUser</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createdAt / updatedAt</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Horodatages standards</w:t>
            </w:r>
          </w:p>
        </w:tc>
      </w:tr>
    </w:tbl>
    <w:p>
      <w:pPr>
        <w:spacing w:after="160"/>
      </w:pPr>
      <w:r>
        <w:t xml:space="preserve">Nouvel enum : BannerLinkType { content category external }. Endpoint public de consommation (mobile HomeScreen) : GET /api/v1/banners?active=true — même logique de cache que le catalogue (TTL 60s).</w:t>
      </w:r>
    </w:p>
    <w:p>
      <w:pPr>
        <w:pStyle w:val="Heading2"/>
        <w:spacing w:after="180" w:before="360"/>
      </w:pPr>
      <w:r>
        <w:rPr>
          <w:b/>
          <w:bCs/>
          <w:color w:val="16161A"/>
        </w:rPr>
        <w:t xml:space="preserve">2.6 PlatformConfig (nouveau modèle, singleton)</w:t>
      </w:r>
    </w:p>
    <w:p>
      <w:pPr>
        <w:spacing w:after="160"/>
      </w:pPr>
      <w:r>
        <w:t xml:space="preserve">Le module Configuration (Cahier des charges §16.1 : commission par défaut, seuil de retrait, moyens de paiement actifs, politique de sécurité) n'avait aucun modèle de destination — seul LoyaltyTierConfig existait, et uniquement pour la fidélité.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000"/>
        <w:gridCol w:w="2200"/>
        <w:gridCol w:w="5160"/>
      </w:tblGrid>
      <w:tr>
        <w:trPr>
          <w:tblHeader/>
        </w:trPr>
        <w:tc>
          <w:tcPr>
            <w:tcW w:type="dxa" w:w="2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Champ</w:t>
            </w:r>
          </w:p>
        </w:tc>
        <w:tc>
          <w:tcPr>
            <w:tcW w:type="dxa" w:w="2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Type</w:t>
            </w:r>
          </w:p>
        </w:tc>
        <w:tc>
          <w:tcPr>
            <w:tcW w:type="dxa" w:w="5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 @id</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Valeur fixe "singleton" — une seule ligne existe jamais</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defaultCommissionRatePercent</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Int</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@default(20) — s'applique uniquement aux nouveaux comptes artistes créés après modification</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minPayoutAmountCfa</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Int</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Seuil minimal de retrait artiste</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activeProviders</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PaymentProvider[]</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Sous-ensemble actif parmi orange/moov/wave/card</w:t>
            </w:r>
          </w:p>
        </w:tc>
      </w:tr>
      <w:tr>
        <w:tc>
          <w:tcPr>
            <w:tcW w:type="dxa" w:w="2000"/>
            <w:tcMar>
              <w:top w:type="dxa" w:w="80"/>
              <w:left w:type="dxa" w:w="100"/>
              <w:bottom w:type="dxa" w:w="80"/>
              <w:right w:type="dxa" w:w="100"/>
            </w:tcMar>
            <w:vAlign w:val="center"/>
          </w:tcPr>
          <w:p>
            <w:pPr>
              <w:jc w:val="left"/>
            </w:pPr>
            <w:r>
              <w:rPr>
                <w:b w:val="false"/>
                <w:bCs w:val="false"/>
                <w:i w:val="false"/>
                <w:iCs w:val="false"/>
                <w:sz w:val="19"/>
                <w:szCs w:val="19"/>
              </w:rPr>
              <w:t xml:space="preserve">updatedByAdminId</w:t>
            </w:r>
          </w:p>
        </w:tc>
        <w:tc>
          <w:tcPr>
            <w:tcW w:type="dxa" w:w="2200"/>
            <w:tcMar>
              <w:top w:type="dxa" w:w="80"/>
              <w:left w:type="dxa" w:w="100"/>
              <w:bottom w:type="dxa" w:w="80"/>
              <w:right w:type="dxa" w:w="100"/>
            </w:tcMar>
            <w:vAlign w:val="center"/>
          </w:tcPr>
          <w:p>
            <w:pPr>
              <w:jc w:val="left"/>
            </w:pPr>
            <w:r>
              <w:rPr>
                <w:b w:val="false"/>
                <w:bCs w:val="false"/>
                <w:i w:val="false"/>
                <w:iCs w:val="false"/>
                <w:sz w:val="19"/>
                <w:szCs w:val="19"/>
              </w:rPr>
              <w:t xml:space="preserve">String?</w:t>
            </w:r>
          </w:p>
        </w:tc>
        <w:tc>
          <w:tcPr>
            <w:tcW w:type="dxa" w:w="5160"/>
            <w:tcMar>
              <w:top w:type="dxa" w:w="80"/>
              <w:left w:type="dxa" w:w="100"/>
              <w:bottom w:type="dxa" w:w="80"/>
              <w:right w:type="dxa" w:w="100"/>
            </w:tcMar>
            <w:vAlign w:val="center"/>
          </w:tcPr>
          <w:p>
            <w:pPr>
              <w:jc w:val="left"/>
            </w:pPr>
            <w:r>
              <w:rPr>
                <w:b w:val="false"/>
                <w:bCs w:val="false"/>
                <w:i w:val="false"/>
                <w:iCs w:val="false"/>
                <w:sz w:val="19"/>
                <w:szCs w:val="19"/>
              </w:rPr>
              <w:t xml:space="preserve">FK → AdminUser</w:t>
            </w:r>
          </w:p>
        </w:tc>
      </w:tr>
      <w:tr>
        <w:tc>
          <w:tcPr>
            <w:tcW w:type="dxa" w:w="2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updatedAt</w:t>
            </w:r>
          </w:p>
        </w:tc>
        <w:tc>
          <w:tcPr>
            <w:tcW w:type="dxa" w:w="2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DateTime</w:t>
            </w:r>
          </w:p>
        </w:tc>
        <w:tc>
          <w:tcPr>
            <w:tcW w:type="dxa" w:w="5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@updatedAt</w:t>
            </w:r>
          </w:p>
        </w:tc>
      </w:tr>
    </w:tbl>
    <w:p>
      <w:pPr>
        <w:pStyle w:val="Heading2"/>
        <w:spacing w:after="180" w:before="360"/>
      </w:pPr>
      <w:r>
        <w:rPr>
          <w:b/>
          <w:bCs/>
          <w:color w:val="16161A"/>
        </w:rPr>
        <w:t xml:space="preserve">2.7 Stratégie de migration</w:t>
      </w:r>
    </w:p>
    <w:p>
      <w:pPr>
        <w:pStyle w:val="ListParagraph"/>
        <w:numPr>
          <w:ilvl w:val="0"/>
          <w:numId w:val="1"/>
        </w:numPr>
        <w:spacing w:after="60"/>
      </w:pPr>
      <w:r>
        <w:t xml:space="preserve">Migration additive uniquement (nouveaux champs nullable, nouveaux modèles) — aucune colonne existante supprimée ou retypée, aucun downtime requis.</w:t>
      </w:r>
    </w:p>
    <w:p>
      <w:pPr>
        <w:pStyle w:val="ListParagraph"/>
        <w:numPr>
          <w:ilvl w:val="0"/>
          <w:numId w:val="1"/>
        </w:numPr>
        <w:spacing w:after="60"/>
      </w:pPr>
      <w:r>
        <w:t xml:space="preserve">PlatformConfig : migration de données incluse pour insérer la ligne singleton initiale avec les valeurs par défaut actuelles (commission 20%, seuil de retrait déjà en vigueur, tous les providers actifs).</w:t>
      </w:r>
    </w:p>
    <w:p>
      <w:pPr>
        <w:pStyle w:val="ListParagraph"/>
        <w:numPr>
          <w:ilvl w:val="0"/>
          <w:numId w:val="1"/>
        </w:numPr>
        <w:spacing w:after="60"/>
      </w:pPr>
      <w:r>
        <w:t xml:space="preserve">AdminUser.totpSecretEncrypted / totpEnabledAt : les comptes AdminUser existants (créés en V1) auront ces champs null — ils sont automatiquement redirigés vers l'enrôlement TOTP (§6.2 Back-Office) à leur prochaine connexion, sans étape de migration manuelle nécessaire.</w:t>
      </w:r>
    </w:p>
    <w:p>
      <w:r>
        <w:br w:type="page"/>
      </w:r>
    </w:p>
    <w:p>
      <w:pPr>
        <w:pStyle w:val="Heading1"/>
        <w:pBdr>
          <w:bottom w:val="single" w:color="C9A15B" w:sz="12" w:space="4"/>
        </w:pBdr>
        <w:spacing w:after="240" w:before="480"/>
      </w:pPr>
      <w:r>
        <w:rPr>
          <w:b/>
          <w:bCs/>
          <w:color w:val="16161A"/>
        </w:rPr>
        <w:t xml:space="preserve">3. Dashboard — endpoints indépendants</w:t>
      </w:r>
    </w:p>
    <w:p>
      <w:pPr>
        <w:spacing w:after="160"/>
      </w:pPr>
      <w:r>
        <w:t xml:space="preserve">Remplace l'endpoint unique GET /admin/dashboard/summary (absent de l'Engineering V1, introduit par erreur dans le Back-Office V1.0) par 6 endpoints indépendants, condition nécessaire pour que chaque widget du Dashboard charge, échoue et affiche un skeleton indépendamment des autres (ADR-003).</w:t>
      </w:r>
    </w:p>
    <w:p>
      <w:pPr>
        <w:pStyle w:val="Heading3"/>
        <w:spacing w:after="140" w:before="280"/>
      </w:pPr>
      <w:r>
        <w:rPr>
          <w:b/>
          <w:bCs/>
          <w:color w:val="8A6A2F"/>
        </w:rPr>
        <w:t xml:space="preserve">3.1 KPI principaux</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/api/v1/admin/dashboard/kpis?period=&amp;from=&amp;to=</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 (champs retournés filtrés selon le rôle appelant, cf. note)</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 ; cache serveur 60s par (rôle, période) — un changement de période ou un nouvel appel après 60s recalcule.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"revenueCfa": 4820000, "salesCount": 1240, "ordersByStatus": { "pending": 12, "paid": 1204, "failed": 8, "refunded": 3 }, "paymentsByStatus": { "succeeded": 1204, "pending": 12, "failed": 8 }, "contentsPublished": 34, "activeUsers": 890 }, "meta": { "period": "7d", "from": "...", "to": "..."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INVALID_PERIOD</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400</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Paramètre period/from/to incohérent</w:t>
            </w:r>
          </w:p>
        </w:tc>
      </w:tr>
    </w:tbl>
    <w:p>
      <w:pPr>
        <w:spacing w:after="100"/>
      </w:pPr>
    </w:p>
    <w:p>
      <w:pPr>
        <w:pStyle w:val="ListParagraph"/>
        <w:numPr>
          <w:ilvl w:val="0"/>
          <w:numId w:val="1"/>
        </w:numPr>
        <w:spacing w:after="60"/>
      </w:pPr>
      <w:r>
        <w:t xml:space="preserve">Masquage par rôle appliqué côté serveur : un content_editor ne reçoit jamais revenueCfa/paymentsByStatus dans la réponse (champ absent, jamais 0) ; un finance_manager ne reçoit jamais contentsPublished.</w:t>
      </w:r>
    </w:p>
    <w:p>
      <w:pPr>
        <w:spacing w:after="160"/>
      </w:pPr>
    </w:p>
    <w:p>
      <w:pPr>
        <w:pStyle w:val="Heading3"/>
        <w:spacing w:after="140" w:before="280"/>
      </w:pPr>
      <w:r>
        <w:rPr>
          <w:b/>
          <w:bCs/>
          <w:color w:val="8A6A2F"/>
        </w:rPr>
        <w:t xml:space="preserve">3.2 Tendance des ventes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/api/v1/admin/dashboard/sales-trend?period=&amp;from=&amp;to=</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 ; cache serveur 60s par (rôle, période) — un changement de période ou un nouvel appel après 60s recalcule.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 "date": "2026-07-17", "revenueCfa": 612000 }, { "date": "2026-07-18", "revenueCfa": 734000 } ], "meta": {} }</w:t>
      </w:r>
    </w:p>
    <w:p>
      <w:pPr>
        <w:spacing w:after="160"/>
      </w:pPr>
    </w:p>
    <w:p>
      <w:pPr>
        <w:pStyle w:val="Heading3"/>
        <w:spacing w:after="140" w:before="280"/>
      </w:pPr>
      <w:r>
        <w:rPr>
          <w:b/>
          <w:bCs/>
          <w:color w:val="8A6A2F"/>
        </w:rPr>
        <w:t xml:space="preserve">3.3 Alertes de sécurité</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/api/v1/admin/dashboard/security-alerts?period=&amp;from=&amp;to=</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 (cohérent avec §5.10.9)</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 ; cache serveur 60s par (rôle, période) — un changement de période ou un nouvel appel après 60s recalcule.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 "id": "sl_02c...", "eventType": "otp_bruteforce", "severity": "critical", "userId": "9a2b...", "createdAt": "..." } ], "meta": {} }</w:t>
      </w:r>
    </w:p>
    <w:p>
      <w:pPr>
        <w:pStyle w:val="ListParagraph"/>
        <w:numPr>
          <w:ilvl w:val="0"/>
          <w:numId w:val="1"/>
        </w:numPr>
        <w:spacing w:after="60"/>
      </w:pPr>
      <w:r>
        <w:t xml:space="preserve">Pour tout autre rôle, cet endpoint renvoie 403 — le bloc correspondant est simplement absent du Dashboard, jamais affiché vide.</w:t>
      </w:r>
    </w:p>
    <w:p>
      <w:pPr>
        <w:spacing w:after="160"/>
      </w:pPr>
    </w:p>
    <w:p>
      <w:pPr>
        <w:pStyle w:val="Heading3"/>
        <w:spacing w:after="140" w:before="280"/>
      </w:pPr>
      <w:r>
        <w:rPr>
          <w:b/>
          <w:bCs/>
          <w:color w:val="8A6A2F"/>
        </w:rPr>
        <w:t xml:space="preserve">3.4 Top contenus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/api/v1/admin/dashboard/top-content?period=&amp;from=&amp;to=</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 ; cache serveur 60s par (rôle, période) — un changement de période ou un nouvel appel après 60s recalcule.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 "contentId": "c1a2...", "title": "Sira", "salesCount": 234 } ], "meta": { "limit": 10 } }</w:t>
      </w:r>
    </w:p>
    <w:p>
      <w:pPr>
        <w:spacing w:after="160"/>
      </w:pPr>
    </w:p>
    <w:p>
      <w:pPr>
        <w:pStyle w:val="Heading3"/>
        <w:spacing w:after="140" w:before="280"/>
      </w:pPr>
      <w:r>
        <w:rPr>
          <w:b/>
          <w:bCs/>
          <w:color w:val="8A6A2F"/>
        </w:rPr>
        <w:t xml:space="preserve">3.5 Top artistes</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/api/v1/admin/dashboard/top-artists?period=&amp;from=&amp;to=</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 ; cache serveur 60s par (rôle, période) — un changement de période ou un nouvel appel après 60s recalcule.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 "artistId": "ar_12c...", "stageName": "DJ Waati", "revenueCfa": 992000 } ], "meta": { "limit": 10 } }</w:t>
      </w:r>
    </w:p>
    <w:p>
      <w:pPr>
        <w:spacing w:after="160"/>
      </w:pPr>
    </w:p>
    <w:p>
      <w:pPr>
        <w:pStyle w:val="Heading3"/>
        <w:spacing w:after="140" w:before="280"/>
      </w:pPr>
      <w:r>
        <w:rPr>
          <w:b/>
          <w:bCs/>
          <w:color w:val="8A6A2F"/>
        </w:rPr>
        <w:t xml:space="preserve">3.6 Retraits en attente</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/api/v1/admin/dashboard/pending-payouts</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 ; cache serveur 60s par (rôle, période) — un changement de période ou un nouvel appel après 60s recalcule.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"count": 3, "totalAmountCfa": 205000 }, "meta": {} }</w:t>
      </w:r>
    </w:p>
    <w:p>
      <w:pPr>
        <w:spacing w:after="16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Comportement UI en cas d'échec (rappel)</w:t>
            </w:r>
          </w:p>
          <w:p>
            <w:r>
              <w:t xml:space="preserve">Chaque widget du Dashboard gère son propre skeleton et son propre état d'erreur (Alert locale au bloc concerné). Un échec sur security-alerts n'affecte jamais kpis, sales-trend ou les autres blocs. Aucune valeur financière ou numérique n'est jamais remplacée par 0 en cas d'erreur — le bloc affiche son état d'erreur à la place, cohérent avec la règle financière absolue déjà en vigueur.</w:t>
            </w:r>
          </w:p>
        </w:tc>
      </w:tr>
    </w:tbl>
    <w:p>
      <w:r>
        <w:br w:type="page"/>
      </w:r>
    </w:p>
    <w:p>
      <w:pPr>
        <w:pStyle w:val="Heading1"/>
        <w:pBdr>
          <w:bottom w:val="single" w:color="C9A15B" w:sz="12" w:space="4"/>
        </w:pBdr>
        <w:spacing w:after="240" w:before="480"/>
      </w:pPr>
      <w:r>
        <w:rPr>
          <w:b/>
          <w:bCs/>
          <w:color w:val="16161A"/>
        </w:rPr>
        <w:t xml:space="preserve">4. Journal d'audit — endpoint formalisé</w:t>
      </w:r>
    </w:p>
    <w:p>
      <w:pPr>
        <w:pStyle w:val="Heading3"/>
        <w:spacing w:after="140" w:before="280"/>
      </w:pPr>
      <w:r>
        <w:rPr>
          <w:b/>
          <w:bCs/>
          <w:color w:val="8A6A2F"/>
        </w:rPr>
        <w:t xml:space="preserve">4.1 Liste du journal d'audit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/api/v1/admin/audit-logs?entityType=&amp;entityId=&amp;action=&amp;adminUserId=&amp;from=&amp;to=&amp;cursor=</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Non limité (usage interne)</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 "id": "al_9f2...", "adminUser": { "id": "adm_1..", "email": "admin@kora.plus" }, "action": "artist.commission_updated", "entityType": "ArtistProfile", "entityId": "ar_12c...", "before": { "commissionRatePercent": 20 }, "after": { "commissionRatePercent": 25 }, "createdAt": "..." } ], "meta": { "nextCursor": null, "hasMore": false } }</w:t>
      </w:r>
    </w:p>
    <w:p>
      <w:pPr>
        <w:spacing w:after="40" w:before="60"/>
      </w:pPr>
      <w:r>
        <w:rPr>
          <w:b/>
          <w:bCs/>
          <w:i/>
          <w:iCs/>
        </w:rPr>
        <w:t xml:space="preserve">Codes d'erreur</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1200"/>
        <w:gridCol w:w="57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Code</w:t>
            </w:r>
          </w:p>
        </w:tc>
        <w:tc>
          <w:tcPr>
            <w:tcW w:type="dxa" w:w="1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HTTP</w:t>
            </w:r>
          </w:p>
        </w:tc>
        <w:tc>
          <w:tcPr>
            <w:tcW w:type="dxa" w:w="57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Condition</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FORBIDDEN</w:t>
            </w:r>
          </w:p>
        </w:tc>
        <w:tc>
          <w:tcPr>
            <w:tcW w:type="dxa" w:w="1200"/>
            <w:tcMar>
              <w:top w:type="dxa" w:w="80"/>
              <w:left w:type="dxa" w:w="100"/>
              <w:bottom w:type="dxa" w:w="80"/>
              <w:right w:type="dxa" w:w="100"/>
            </w:tcMar>
            <w:vAlign w:val="center"/>
          </w:tcPr>
          <w:p>
            <w:pPr>
              <w:jc w:val="left"/>
            </w:pPr>
            <w:r>
              <w:rPr>
                <w:b w:val="false"/>
                <w:bCs w:val="false"/>
                <w:i w:val="false"/>
                <w:iCs w:val="false"/>
                <w:sz w:val="19"/>
                <w:szCs w:val="19"/>
              </w:rPr>
              <w:t xml:space="preserve">403</w:t>
            </w:r>
          </w:p>
        </w:tc>
        <w:tc>
          <w:tcPr>
            <w:tcW w:type="dxa" w:w="5760"/>
            <w:tcMar>
              <w:top w:type="dxa" w:w="80"/>
              <w:left w:type="dxa" w:w="100"/>
              <w:bottom w:type="dxa" w:w="80"/>
              <w:right w:type="dxa" w:w="100"/>
            </w:tcMar>
            <w:vAlign w:val="center"/>
          </w:tcPr>
          <w:p>
            <w:pPr>
              <w:jc w:val="left"/>
            </w:pPr>
            <w:r>
              <w:rPr>
                <w:b w:val="false"/>
                <w:bCs w:val="false"/>
                <w:i w:val="false"/>
                <w:iCs w:val="false"/>
                <w:sz w:val="19"/>
                <w:szCs w:val="19"/>
              </w:rPr>
              <w:t xml:space="preserve">Tout rôle autre que super_admin</w:t>
            </w:r>
          </w:p>
        </w:tc>
      </w:tr>
    </w:tbl>
    <w:p>
      <w:pPr>
        <w:spacing w:after="100"/>
      </w:pPr>
    </w:p>
    <w:p>
      <w:pPr>
        <w:pStyle w:val="ListParagraph"/>
        <w:numPr>
          <w:ilvl w:val="0"/>
          <w:numId w:val="1"/>
        </w:numPr>
        <w:spacing w:after="60"/>
      </w:pPr>
      <w:r>
        <w:t xml:space="preserve">Lecture seule stricte : aucune méthode PATCH/PUT/DELETE n'existe sur cette ressource, ni au niveau du contrôleur ni au niveau du service — pas seulement absente de l'UI.</w:t>
      </w:r>
    </w:p>
    <w:p>
      <w:pPr>
        <w:pStyle w:val="ListParagraph"/>
        <w:numPr>
          <w:ilvl w:val="0"/>
          <w:numId w:val="1"/>
        </w:numPr>
        <w:spacing w:after="60"/>
      </w:pPr>
      <w:r>
        <w:t xml:space="preserve">Tri décroissant par date par défaut, non modifiable.</w:t>
      </w:r>
    </w:p>
    <w:p>
      <w:pPr>
        <w:pStyle w:val="ListParagraph"/>
        <w:numPr>
          <w:ilvl w:val="0"/>
          <w:numId w:val="1"/>
        </w:numPr>
        <w:spacing w:after="60"/>
      </w:pPr>
      <w:r>
        <w:t xml:space="preserve">Toute donnée sensible dans before/after (ex. payoutAccountRef) est masquée partiellement dans la réponse, cohérent avec le masquage déjà appliqué ailleurs (téléphone, référence de paiement).</w:t>
      </w:r>
    </w:p>
    <w:p>
      <w:pPr>
        <w:spacing w:after="160"/>
      </w:pPr>
    </w:p>
    <w:p>
      <w:pPr>
        <w:pStyle w:val="Heading3"/>
        <w:spacing w:after="140" w:before="280"/>
      </w:pPr>
      <w:r>
        <w:rPr>
          <w:b/>
          <w:bCs/>
          <w:color w:val="8A6A2F"/>
        </w:rPr>
        <w:t xml:space="preserve">4.2 Export du journal d'audit</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2400"/>
        <w:gridCol w:w="6960"/>
      </w:tblGrid>
      <w:tr>
        <w:trPr>
          <w:tblHeader/>
        </w:trPr>
        <w:tc>
          <w:tcPr>
            <w:tcW w:type="dxa" w:w="24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Attribut</w:t>
            </w:r>
          </w:p>
        </w:tc>
        <w:tc>
          <w:tcPr>
            <w:tcW w:type="dxa" w:w="69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Détail</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Méthode &amp; route</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GET /api/v1/admin/audit-logs/export</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Authentification</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exclusivement</w:t>
            </w:r>
          </w:p>
        </w:tc>
      </w:tr>
      <w:tr>
        <w:tc>
          <w:tcPr>
            <w:tcW w:type="dxa" w:w="2400"/>
            <w:tcMar>
              <w:top w:type="dxa" w:w="80"/>
              <w:left w:type="dxa" w:w="100"/>
              <w:bottom w:type="dxa" w:w="80"/>
              <w:right w:type="dxa" w:w="100"/>
            </w:tcMar>
            <w:vAlign w:val="center"/>
          </w:tcPr>
          <w:p>
            <w:pPr>
              <w:jc w:val="left"/>
            </w:pPr>
            <w:r>
              <w:rPr>
                <w:b w:val="false"/>
                <w:bCs w:val="false"/>
                <w:i w:val="false"/>
                <w:iCs w:val="false"/>
                <w:sz w:val="19"/>
                <w:szCs w:val="19"/>
              </w:rPr>
              <w:t xml:space="preserve">Rate limit</w:t>
            </w:r>
          </w:p>
        </w:tc>
        <w:tc>
          <w:tcPr>
            <w:tcW w:type="dxa" w:w="6960"/>
            <w:tcMar>
              <w:top w:type="dxa" w:w="80"/>
              <w:left w:type="dxa" w:w="100"/>
              <w:bottom w:type="dxa" w:w="80"/>
              <w:right w:type="dxa" w:w="100"/>
            </w:tcMar>
            <w:vAlign w:val="center"/>
          </w:tcPr>
          <w:p>
            <w:pPr>
              <w:jc w:val="left"/>
            </w:pPr>
            <w:r>
              <w:rPr>
                <w:b w:val="false"/>
                <w:bCs w:val="false"/>
                <w:i w:val="false"/>
                <w:iCs w:val="false"/>
                <w:sz w:val="19"/>
                <w:szCs w:val="19"/>
              </w:rPr>
              <w:t xml:space="preserve">5 / heure (génération coûteuse, même politique que l'export fidélité)</w:t>
            </w:r>
          </w:p>
        </w:tc>
      </w:tr>
      <w:tr>
        <w:tc>
          <w:tcPr>
            <w:tcW w:type="dxa" w:w="24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Idempotence</w:t>
            </w:r>
          </w:p>
        </w:tc>
        <w:tc>
          <w:tcPr>
            <w:tcW w:type="dxa" w:w="69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Non applicable</w:t>
            </w:r>
          </w:p>
        </w:tc>
      </w:tr>
    </w:tbl>
    <w:p>
      <w:pPr>
        <w:spacing w:after="100"/>
      </w:pPr>
    </w:p>
    <w:p>
      <w:pPr>
        <w:spacing w:after="40" w:before="60"/>
      </w:pPr>
      <w:r>
        <w:rPr>
          <w:b/>
          <w:bCs/>
          <w:i/>
          <w:iCs/>
        </w:rPr>
        <w:t xml:space="preserve">Réponse (succès)</w:t>
      </w:r>
    </w:p>
    <w:p>
      <w:pPr>
        <w:spacing w:after="100"/>
      </w:pPr>
      <w:r>
        <w:rPr>
          <w:rFonts w:ascii="Consolas" w:cs="Consolas" w:eastAsia="Consolas" w:hAnsi="Consolas"/>
          <w:sz w:val="18"/>
          <w:szCs w:val="18"/>
        </w:rPr>
        <w:t xml:space="preserve">{ "data": { "jobId": "exp_882...", "status": "queued" }, "meta": {} }</w:t>
      </w:r>
    </w:p>
    <w:p>
      <w:pPr>
        <w:pStyle w:val="ListParagraph"/>
        <w:numPr>
          <w:ilvl w:val="0"/>
          <w:numId w:val="1"/>
        </w:numPr>
        <w:spacing w:after="60"/>
      </w:pPr>
      <w:r>
        <w:t xml:space="preserve">Traitement asynchrone (queue export, Engineering V1 §2.11) ; notification in-app avec lien signé une fois prêt — identique au pattern déjà utilisé pour l'export fidélité.</w:t>
      </w:r>
    </w:p>
    <w:p>
      <w:pPr>
        <w:spacing w:after="160"/>
      </w:pPr>
    </w:p>
    <w:p>
      <w:r>
        <w:br w:type="page"/>
      </w:r>
    </w:p>
    <w:p>
      <w:pPr>
        <w:pStyle w:val="Heading1"/>
        <w:pBdr>
          <w:bottom w:val="single" w:color="C9A15B" w:sz="12" w:space="4"/>
        </w:pBdr>
        <w:spacing w:after="240" w:before="480"/>
      </w:pPr>
      <w:r>
        <w:rPr>
          <w:b/>
          <w:bCs/>
          <w:color w:val="16161A"/>
        </w:rPr>
        <w:t xml:space="preserve">5. Endpoints back-office complémentaires</w:t>
      </w:r>
    </w:p>
    <w:p>
      <w:pPr>
        <w:spacing w:after="160"/>
      </w:pPr>
      <w:r>
        <w:t xml:space="preserve">Les endpoints ci-dessous étaient utilisés dans la spécification Back-Office mais jamais formalisés dans l'Engineering Specification V1. Contrat résumé (méthode, rôles, description) — le détail complet du DTO suit les mêmes conventions que les endpoints déjà documentés en Engineering V1 §5.9/§5.10 (enveloppe { data, meta }, pagination par curseur, erreurs standard).</w:t>
      </w:r>
    </w:p>
    <w:tbl>
      <w:tblPr>
        <w:tblW w:type="dxa" w:w="9360"/>
        <w:tblBorders>
          <w:top w:val="single" w:color="C9A15B" w:sz="4"/>
          <w:left w:val="single" w:color="D9D3C4" w:sz="2"/>
          <w:bottom w:val="single" w:color="C9A15B" w:sz="4"/>
          <w:right w:val="single" w:color="D9D3C4" w:sz="2"/>
          <w:insideH w:val="single" w:color="D9D3C4" w:sz="2"/>
          <w:insideV w:val="single" w:color="D9D3C4" w:sz="2"/>
        </w:tblBorders>
      </w:tblPr>
      <w:tblGrid>
        <w:gridCol w:w="3200"/>
        <w:gridCol w:w="3160"/>
        <w:gridCol w:w="3000"/>
      </w:tblGrid>
      <w:tr>
        <w:trPr>
          <w:tblHeader/>
        </w:trPr>
        <w:tc>
          <w:tcPr>
            <w:tcW w:type="dxa" w:w="32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Endpoint</w:t>
            </w:r>
          </w:p>
        </w:tc>
        <w:tc>
          <w:tcPr>
            <w:tcW w:type="dxa" w:w="316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Rôles</w:t>
            </w:r>
          </w:p>
        </w:tc>
        <w:tc>
          <w:tcPr>
            <w:tcW w:type="dxa" w:w="3000"/>
            <w:shd w:fill="2A2A20" w:val="clear"/>
            <w:tcMar>
              <w:top w:type="dxa" w:w="80"/>
              <w:left w:type="dxa" w:w="100"/>
              <w:bottom w:type="dxa" w:w="80"/>
              <w:right w:type="dxa" w:w="100"/>
            </w:tcMar>
            <w:vAlign w:val="center"/>
          </w:tcPr>
          <w:p>
            <w:pPr>
              <w:jc w:val="left"/>
            </w:pPr>
            <w:r>
              <w:rPr>
                <w:b/>
                <w:bCs/>
                <w:i w:val="false"/>
                <w:iCs w:val="false"/>
                <w:color w:val="F5F1E8"/>
                <w:sz w:val="19"/>
                <w:szCs w:val="19"/>
              </w:rPr>
              <w:t xml:space="preserve">Description</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 /admin/users/:id</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Détail complet d'un utilisateur (profil, statut, palier)</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/admin/users/:id/orders</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Commandes de l'utilisateur, pagination curseur</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 /admin/users/:id/sessions</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Sessions/appareils actifs de l'utilisateur</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/admin/artists/:id</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Détail complet d'un profil artiste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 /admin/artists/:id/content</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Contenus de l'artiste, pagination curseur</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/admin/artists/:id/payouts</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Historique de retraits de l'artiste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 /admin/orders?status=&amp;userId=&amp;cursor=</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support</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Liste des commandes tous statuts</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/admin/orders/:id</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support</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Détail d'une commande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 /admin/orders/:id/receipt</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support</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Reçu PDF signé</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/admin/payments/:id</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Détail d'une transaction (réconciliation)</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POST /admin/payments/:id/retry</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Nouvelle tentative de paiement</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POST /admin/payments/:id/refund</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 + 2FA récente</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Remboursement, motif obligatoire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 /admin/payouts?status=&amp;cursor=</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super_admin, finance_manager</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Liste des demandes de retrait</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/admin/notifications?cursor=</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Tous rôles</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Historique des notifications envoyées</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POST /admin/notifications</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 finance_manager</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Création/programmation d'une notification</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POST/PATCH /admin/categories</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 content_editor</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CRUD catégories de référence</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GET/POST/PATCH /admin/banners</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Lecture : tous rôles · Écriture : super_admin, content_editor</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CRUD bannières éditoriales (modèle Banner, §2.5)</w:t>
            </w:r>
          </w:p>
        </w:tc>
      </w:tr>
      <w:tr>
        <w:tc>
          <w:tcPr>
            <w:tcW w:type="dxa" w:w="32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GET /admin/config</w:t>
            </w:r>
          </w:p>
        </w:tc>
        <w:tc>
          <w:tcPr>
            <w:tcW w:type="dxa" w:w="316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super_admin</w:t>
            </w:r>
          </w:p>
        </w:tc>
        <w:tc>
          <w:tcPr>
            <w:tcW w:type="dxa" w:w="3000"/>
            <w:shd w:fill="FAF8F2" w:val="clear"/>
            <w:tcMar>
              <w:top w:type="dxa" w:w="80"/>
              <w:left w:type="dxa" w:w="100"/>
              <w:bottom w:type="dxa" w:w="80"/>
              <w:right w:type="dxa" w:w="100"/>
            </w:tcMar>
            <w:vAlign w:val="center"/>
          </w:tcPr>
          <w:p>
            <w:pPr>
              <w:jc w:val="left"/>
            </w:pPr>
            <w:r>
              <w:rPr>
                <w:b w:val="false"/>
                <w:bCs w:val="false"/>
                <w:i w:val="false"/>
                <w:iCs w:val="false"/>
                <w:sz w:val="19"/>
                <w:szCs w:val="19"/>
              </w:rPr>
              <w:t xml:space="preserve">Lecture de PlatformConfig</w:t>
            </w:r>
          </w:p>
        </w:tc>
      </w:tr>
      <w:tr>
        <w:tc>
          <w:tcPr>
            <w:tcW w:type="dxa" w:w="3200"/>
            <w:tcMar>
              <w:top w:type="dxa" w:w="80"/>
              <w:left w:type="dxa" w:w="100"/>
              <w:bottom w:type="dxa" w:w="80"/>
              <w:right w:type="dxa" w:w="100"/>
            </w:tcMar>
            <w:vAlign w:val="center"/>
          </w:tcPr>
          <w:p>
            <w:pPr>
              <w:jc w:val="left"/>
            </w:pPr>
            <w:r>
              <w:rPr>
                <w:b w:val="false"/>
                <w:bCs w:val="false"/>
                <w:i w:val="false"/>
                <w:iCs w:val="false"/>
                <w:sz w:val="19"/>
                <w:szCs w:val="19"/>
              </w:rPr>
              <w:t xml:space="preserve">PATCH /admin/config/:section</w:t>
            </w:r>
          </w:p>
        </w:tc>
        <w:tc>
          <w:tcPr>
            <w:tcW w:type="dxa" w:w="3160"/>
            <w:tcMar>
              <w:top w:type="dxa" w:w="80"/>
              <w:left w:type="dxa" w:w="100"/>
              <w:bottom w:type="dxa" w:w="80"/>
              <w:right w:type="dxa" w:w="100"/>
            </w:tcMar>
            <w:vAlign w:val="center"/>
          </w:tcPr>
          <w:p>
            <w:pPr>
              <w:jc w:val="left"/>
            </w:pPr>
            <w:r>
              <w:rPr>
                <w:b w:val="false"/>
                <w:bCs w:val="false"/>
                <w:i w:val="false"/>
                <w:iCs w:val="false"/>
                <w:sz w:val="19"/>
                <w:szCs w:val="19"/>
              </w:rPr>
              <w:t xml:space="preserve">super_admin + 2FA récente</w:t>
            </w:r>
          </w:p>
        </w:tc>
        <w:tc>
          <w:tcPr>
            <w:tcW w:type="dxa" w:w="3000"/>
            <w:tcMar>
              <w:top w:type="dxa" w:w="80"/>
              <w:left w:type="dxa" w:w="100"/>
              <w:bottom w:type="dxa" w:w="80"/>
              <w:right w:type="dxa" w:w="100"/>
            </w:tcMar>
            <w:vAlign w:val="center"/>
          </w:tcPr>
          <w:p>
            <w:pPr>
              <w:jc w:val="left"/>
            </w:pPr>
            <w:r>
              <w:rPr>
                <w:b w:val="false"/>
                <w:bCs w:val="false"/>
                <w:i w:val="false"/>
                <w:iCs w:val="false"/>
                <w:sz w:val="19"/>
                <w:szCs w:val="19"/>
              </w:rPr>
              <w:t xml:space="preserve">Modification d'une section de configuration</w:t>
            </w:r>
          </w:p>
        </w:tc>
      </w:tr>
    </w:tbl>
    <w:p>
      <w:pPr>
        <w:spacing w:after="160"/>
      </w:pPr>
    </w:p>
    <w:tbl>
      <w:tblPr>
        <w:tblW w:type="dxa" w:w="9360"/>
        <w:tblBorders>
          <w:top w:val="single" w:color="C9A15B" w:sz="6"/>
          <w:left w:val="single" w:color="C9A15B" w:sz="6"/>
          <w:bottom w:val="single" w:color="C9A15B" w:sz="6"/>
          <w:right w:val="single" w:color="C9A15B" w:sz="6"/>
          <w:insideH w:val="single" w:color="auto" w:sz="4"/>
          <w:insideV w:val="single" w:color="auto" w:sz="4"/>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F"/>
              </w:rPr>
              <w:t xml:space="preserve">Cohérence des contrats</w:t>
            </w:r>
          </w:p>
          <w:p>
            <w:r>
              <w:t xml:space="preserve">Tous ces endpoints suivent l'enveloppe standard { data, meta } et le format d'erreur { code, message } déjà en vigueur (Engineering V1 §5, préambule). Aucun ne déroge au préfixe /api/v1/, à la pagination par curseur pour les listes, ni au principe RBAC vérifié exclusivement côté NestJS.</w:t>
            </w:r>
          </w:p>
        </w:tc>
      </w:tr>
    </w:tbl>
    <w:p>
      <w:r>
        <w:br w:type="page"/>
      </w:r>
    </w:p>
    <w:p>
      <w:pPr>
        <w:pStyle w:val="Heading1"/>
        <w:pBdr>
          <w:bottom w:val="single" w:color="C9A15B" w:sz="12" w:space="4"/>
        </w:pBdr>
        <w:spacing w:after="240" w:before="480"/>
      </w:pPr>
      <w:r>
        <w:rPr>
          <w:b/>
          <w:bCs/>
          <w:color w:val="16161A"/>
        </w:rPr>
        <w:t xml:space="preserve">6. Décisions techniques finales</w:t>
      </w:r>
    </w:p>
    <w:p>
      <w:pPr>
        <w:spacing w:after="160"/>
      </w:pPr>
      <w:r>
        <w:t xml:space="preserve">Résumé des décisions fermes appliquées par cet addendum, sans arbitrage métier restant (cf. Registre ADR pour le contexte complet de chacune).</w:t>
      </w:r>
    </w:p>
    <w:p>
      <w:pPr>
        <w:pStyle w:val="ListParagraph"/>
        <w:numPr>
          <w:ilvl w:val="0"/>
          <w:numId w:val="1"/>
        </w:numPr>
        <w:spacing w:after="60"/>
      </w:pPr>
      <w:r>
        <w:t xml:space="preserve">apexcharts : dépendance npm séparée (npm install @adminlte/react bootstrap bootstrap-icons apexcharts), jamais bundlée dans @adminlte/react.</w:t>
      </w:r>
    </w:p>
    <w:p>
      <w:pPr>
        <w:pStyle w:val="ListParagraph"/>
        <w:numPr>
          <w:ilvl w:val="0"/>
          <w:numId w:val="1"/>
        </w:numPr>
        <w:spacing w:after="60"/>
      </w:pPr>
      <w:r>
        <w:t xml:space="preserve">TOTP (RFC 6238) remplace le code par e-mail pour la 2FA admin ; l'e-mail redevient un canal d'alerte/récupération uniquement.</w:t>
      </w:r>
    </w:p>
    <w:p>
      <w:pPr>
        <w:pStyle w:val="ListParagraph"/>
        <w:numPr>
          <w:ilvl w:val="0"/>
          <w:numId w:val="1"/>
        </w:numPr>
        <w:spacing w:after="60"/>
      </w:pPr>
      <w:r>
        <w:t xml:space="preserve">Session admin : nouveau modèle AdminSession, JWT access 15 min + refresh cookie httpOnly 8h glissantes ; « 2FA récente » = lastTwoFactorAt &lt; 5 min.</w:t>
      </w:r>
    </w:p>
    <w:p>
      <w:pPr>
        <w:pStyle w:val="ListParagraph"/>
        <w:numPr>
          <w:ilvl w:val="0"/>
          <w:numId w:val="1"/>
        </w:numPr>
        <w:spacing w:after="60"/>
      </w:pPr>
      <w:r>
        <w:t xml:space="preserve">Dashboard : 6 endpoints indépendants, jamais un endpoint monolithique ; masquage de champs par rôle appliqué côté serveur.</w:t>
      </w:r>
    </w:p>
    <w:p>
      <w:pPr>
        <w:pStyle w:val="ListParagraph"/>
        <w:numPr>
          <w:ilvl w:val="0"/>
          <w:numId w:val="1"/>
        </w:numPr>
        <w:spacing w:after="60"/>
      </w:pPr>
      <w:r>
        <w:t xml:space="preserve">Journal d'audit : endpoint GET /admin/audit-logs formalisé, lecture seule stricte, super_admin exclusivement.</w:t>
      </w:r>
    </w:p>
    <w:p>
      <w:pPr>
        <w:pStyle w:val="ListParagraph"/>
        <w:numPr>
          <w:ilvl w:val="0"/>
          <w:numId w:val="1"/>
        </w:numPr>
        <w:spacing w:after="60"/>
      </w:pPr>
      <w:r>
        <w:t xml:space="preserve">Nouveaux modèles Prisma additifs uniquement : AdminSession, AdminRecoveryCode, Banner, PlatformConfig ; deux champs ajoutés à AdminUser.</w:t>
      </w:r>
    </w:p>
    <w:p>
      <w:pPr>
        <w:pStyle w:val="ListParagraph"/>
        <w:numPr>
          <w:ilvl w:val="0"/>
          <w:numId w:val="1"/>
        </w:numPr>
        <w:spacing w:after="60"/>
      </w:pPr>
      <w:r>
        <w:t xml:space="preserve">Terminologie : « Soutenir l'artiste » est le terme KORA+ officiel (VipSupport en classe technique) ; « Achat VIP » n'est conservé que comme référence benchmark.</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68C"/>
        <w:sz w:val="16"/>
        <w:szCs w:val="16"/>
      </w:rPr>
      <w:fldChar w:fldCharType="begin"/>
      <w:instrText xml:space="preserve">PAGE</w:instrText>
      <w:fldChar w:fldCharType="separate"/>
      <w:fldChar w:fldCharType="end"/>
    </w:r>
    <w:r>
      <w:rPr>
        <w:color w:val="9A968C"/>
        <w:sz w:val="16"/>
        <w:szCs w:val="16"/>
      </w:rPr>
      <w:t xml:space="preserve"> / </w:t>
    </w:r>
    <w:r>
      <w:rPr>
        <w:color w:val="9A96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68C"/>
        <w:sz w:val="16"/>
        <w:szCs w:val="16"/>
      </w:rPr>
      <w:t xml:space="preserve">KORA+ — Engineering Specification Addendum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KORA+ Engineering Specification — Addendum V1.1</dc:title>
  <dc:creator>KORA+ Engineering</dc:creator>
  <cp:lastModifiedBy>Un-named</cp:lastModifiedBy>
  <cp:revision>1</cp:revision>
  <dcterms:created xsi:type="dcterms:W3CDTF">2026-07-23T12:45:17.846Z</dcterms:created>
  <dcterms:modified xsi:type="dcterms:W3CDTF">2026-07-23T12:45:17.866Z</dcterms:modified>
</cp:coreProperties>
</file>

<file path=docProps/custom.xml><?xml version="1.0" encoding="utf-8"?>
<Properties xmlns="http://schemas.openxmlformats.org/officeDocument/2006/custom-properties" xmlns:vt="http://schemas.openxmlformats.org/officeDocument/2006/docPropsVTypes"/>
</file>