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C9A15B"/>
          <w:sz w:val="64"/>
          <w:szCs w:val="64"/>
        </w:rPr>
        <w:t xml:space="preserve">KORA+</w:t>
      </w:r>
    </w:p>
    <w:p>
      <w:pPr>
        <w:spacing w:after="480" w:before="120"/>
        <w:jc w:val="center"/>
      </w:pPr>
      <w:r>
        <w:rPr>
          <w:b/>
          <w:bCs/>
          <w:color w:val="16161A"/>
          <w:sz w:val="26"/>
          <w:szCs w:val="26"/>
        </w:rPr>
        <w:t xml:space="preserve">SPECIFICATION ALIGNMENT REGISTER &amp; ARCHITECTURE DECISION RECORDS</w:t>
      </w:r>
    </w:p>
    <w:p>
      <w:pPr>
        <w:spacing w:after="600"/>
        <w:jc w:val="center"/>
      </w:pPr>
      <w:r>
        <w:rPr>
          <w:i/>
          <w:iCs/>
          <w:color w:val="6B6E76"/>
          <w:sz w:val="20"/>
          <w:szCs w:val="20"/>
        </w:rPr>
        <w:t xml:space="preserve">Registre de cohérence croisée, décisions d'architecture et matrice des dépendances entre modules</w:t>
      </w: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Portée de ce document</w:t>
            </w:r>
          </w:p>
          <w:p>
            <w:r>
              <w:t xml:space="preserve">Ce registre couvre les quatre documents officiels KORA+ (Cahier des charges V4, Engineering Specification + Addendum V1.1, UI/UX Design Specification mobile, Back-Office UI/UX &amp; AdminLTE Integration Specification V1.1). Aucune contradiction identifiée lors de la revue n'est restée cachée : chacune est tracée ci-dessous avec son statut, sa décision finale et sa correction appliquée. Les décisions structurantes sont en outre documentées au format ADR (Architecture Decision Record) pour en conserver le contexte et les alternatives écartées.</w:t>
            </w:r>
          </w:p>
        </w:tc>
      </w:tr>
    </w:tbl>
    <w:p>
      <w:r>
        <w:br w:type="page"/>
      </w:r>
    </w:p>
    <w:p>
      <w:pPr>
        <w:pStyle w:val="Heading1"/>
        <w:pBdr>
          <w:bottom w:val="single" w:color="C9A15B" w:sz="12" w:space="4"/>
        </w:pBdr>
        <w:spacing w:after="240" w:before="480"/>
      </w:pPr>
      <w:r>
        <w:rPr>
          <w:b/>
          <w:bCs/>
          <w:color w:val="16161A"/>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A15B" w:sz="12" w:space="4"/>
        </w:pBdr>
        <w:spacing w:after="240" w:before="480"/>
      </w:pPr>
      <w:r>
        <w:rPr>
          <w:b/>
          <w:bCs/>
          <w:color w:val="16161A"/>
        </w:rPr>
        <w:t xml:space="preserve">1. Registre synthétique</w:t>
      </w:r>
    </w:p>
    <w:p>
      <w:pPr>
        <w:spacing w:after="160"/>
      </w:pPr>
      <w:r>
        <w:t xml:space="preserve">Vue d'ensemble de toutes les contradictions, imprécisions et écarts corrigés ou clarifiés. Statuts autorisés : Corrigé, Clarifié, Décision requise, Reporté V2.</w:t>
      </w:r>
    </w:p>
    <w:tbl>
      <w:tblPr>
        <w:tblW w:type="dxa" w:w="11500"/>
        <w:tblBorders>
          <w:top w:val="single" w:color="C9A15B" w:sz="4"/>
          <w:left w:val="single" w:color="D9D3C4" w:sz="2"/>
          <w:bottom w:val="single" w:color="C9A15B" w:sz="4"/>
          <w:right w:val="single" w:color="D9D3C4" w:sz="2"/>
          <w:insideH w:val="single" w:color="D9D3C4" w:sz="2"/>
          <w:insideV w:val="single" w:color="D9D3C4" w:sz="2"/>
        </w:tblBorders>
      </w:tblPr>
      <w:tblGrid>
        <w:gridCol w:w="900"/>
        <w:gridCol w:w="1300"/>
        <w:gridCol w:w="1700"/>
        <w:gridCol w:w="2400"/>
        <w:gridCol w:w="2400"/>
        <w:gridCol w:w="1900"/>
        <w:gridCol w:w="900"/>
      </w:tblGrid>
      <w:tr>
        <w:trPr>
          <w:tblHeader/>
        </w:trPr>
        <w:tc>
          <w:tcPr>
            <w:tcW w:type="dxa" w:w="9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ID</w:t>
            </w:r>
          </w:p>
        </w:tc>
        <w:tc>
          <w:tcPr>
            <w:tcW w:type="dxa" w:w="13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Domaine</w:t>
            </w:r>
          </w:p>
        </w:tc>
        <w:tc>
          <w:tcPr>
            <w:tcW w:type="dxa" w:w="17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Documents concernés</w:t>
            </w:r>
          </w:p>
        </w:tc>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Problème</w:t>
            </w:r>
          </w:p>
        </w:tc>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Décision finale</w:t>
            </w:r>
          </w:p>
        </w:tc>
        <w:tc>
          <w:tcPr>
            <w:tcW w:type="dxa" w:w="19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Correction appliquée</w:t>
            </w:r>
          </w:p>
        </w:tc>
        <w:tc>
          <w:tcPr>
            <w:tcW w:type="dxa" w:w="9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REG-01</w:t>
            </w:r>
          </w:p>
        </w:tc>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Dépendances</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Back-Office</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ApexCharts présenté comme inclus dans @adminlte/react</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apexcharts = dépendance npm séparée (peer)</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BO V1.1 §1.2/§3/§13, Addendum §6</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Corrigé</w:t>
            </w:r>
          </w:p>
        </w:tc>
      </w:tr>
      <w:tr>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REG-02</w:t>
            </w:r>
          </w:p>
        </w:tc>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Sécurité / Auth</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Back-Office, Engineering</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2FA admin par code e-mail au lieu d'un mécanisme robuste</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TOTP + codes de secours (ADR-002)</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 V1.1 §6.1–6.5/§10, Addendum §1-2</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Corrigé</w:t>
            </w:r>
          </w:p>
        </w:tc>
      </w:tr>
      <w:tr>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REG-03</w:t>
            </w:r>
          </w:p>
        </w:tc>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Architecture API</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Back-Office</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Endpoint Dashboard unique contredisant le chargement indépendant par bloc</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6 endpoints indépendants (ADR-003)</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BO V1.1 §6.6/§7, Addendum §3</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Corrigé</w:t>
            </w:r>
          </w:p>
        </w:tc>
      </w:tr>
      <w:tr>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REG-04</w:t>
            </w:r>
          </w:p>
        </w:tc>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API</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Back-Office, Engineering</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/admin/audit-logs non formalisé (méthode, DTO, erreurs absents)</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Endpoint formalisé avec contrat complet (ADR-004)</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 V1.1 §6.27, Addendum §4</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Corrigé</w:t>
            </w:r>
          </w:p>
        </w:tc>
      </w:tr>
      <w:tr>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REG-05</w:t>
            </w:r>
          </w:p>
        </w:tc>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API</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Back-Office, Engineering</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~18 endpoints admin utilisés dans le BO mais jamais définis dans l'Engineering Specification</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Tous formalisés avec contrat résumé</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Addendum §5</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Corrigé</w:t>
            </w:r>
          </w:p>
        </w:tc>
      </w:tr>
      <w:tr>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REG-06</w:t>
            </w:r>
          </w:p>
        </w:tc>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Prisma</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Engineering</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Aucun modèle pour persister la session admin ni la fraîcheur de la 2FA — TwoFactorGuard invérifiable en pratique</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Modèle AdminSession ajouté (ADR-005)</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Addendum §2.2/§2.4</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Corrigé</w:t>
            </w:r>
          </w:p>
        </w:tc>
      </w:tr>
      <w:tr>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REG-07</w:t>
            </w:r>
          </w:p>
        </w:tc>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Prisma</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Engineering</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Aucun champ pour le secret TOTP ni les codes de secours</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AdminUser étendu + modèle AdminRecoveryCode</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Addendum §2.1/§2.3</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Corrigé</w:t>
            </w:r>
          </w:p>
        </w:tc>
      </w:tr>
      <w:tr>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REG-08</w:t>
            </w:r>
          </w:p>
        </w:tc>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Prisma</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Engineering, Cahier des charges</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Bannières éditoriales » listées (§16.1) sans modèle Prisma</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Modèle Banner ajouté (ADR-006)</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Addendum §2.5</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Corrigé</w:t>
            </w:r>
          </w:p>
        </w:tc>
      </w:tr>
      <w:tr>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REG-09</w:t>
            </w:r>
          </w:p>
        </w:tc>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Prisma</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Engineering, Cahier des charges</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Module Configuration (commission par défaut, seuil de retrait) sans modèle de destination</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Modèle PlatformConfig ajouté (ADR-006)</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Addendum §2.6</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Corrigé</w:t>
            </w:r>
          </w:p>
        </w:tc>
      </w:tr>
      <w:tr>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REG-10</w:t>
            </w:r>
          </w:p>
        </w:tc>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Terminologie</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UI/UX mobile</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Achat VIP » et « Soutenir l'artiste » utilisés indifféremment pour la même action (§4.9 ContentDetailScreen)</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Soutenir l'artiste » retenu comme seul terme KORA+ (VipSupport en classe technique) — ADR-007</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À appliquer à la prochaine révision du document mobile (correction ponctuelle d'une puce, ne justifie pas une V1.1 complète)</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Clarifié</w:t>
            </w:r>
          </w:p>
        </w:tc>
      </w:tr>
      <w:tr>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REG-11</w:t>
            </w:r>
          </w:p>
        </w:tc>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Performance</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Engineering, Back-Office</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Aucun budget de performance explicite pour apps/admin (contrairement au mobile, §10 Engineering)</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Confirmé : le back-office suit les bonnes pratiques web standard (chargement progressif, pas de budget RAM strict) — différence assumée, pas une lacune, un outil interne n'a pas les contraintes d'un appareil Android bas de gamme</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Présent registre, §5 ci-dessous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Clarifié</w:t>
            </w:r>
          </w:p>
        </w:tc>
      </w:tr>
      <w:tr>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REG-12</w:t>
            </w:r>
          </w:p>
        </w:tc>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Tests</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Engineering, Back-Office</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Back-Office ajoute un seuil ≥90% pour la logique financière sans équivalent formel en Engineering V1</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Confirmé comme complément cohérent, pas une contradiction — aligné sur l'exigence déjà stricte des use cases Flutter</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 V1.1 §12 (déjà en place)</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Clarifié</w:t>
            </w:r>
          </w:p>
        </w:tc>
      </w:tr>
      <w:tr>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REG-13</w:t>
            </w:r>
          </w:p>
        </w:tc>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Session / Auth</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Engineering, Back-Office</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Durée et mécanisme de la session admin jamais précisés (JWT seul ? cookie ? durée ?)</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JWT access 15 min + refresh cookie httpOnly 8h glissantes, backé par AdminSession (ADR-008)</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Addendum §2.4</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Corrigé</w:t>
            </w:r>
          </w:p>
        </w:tc>
      </w:tr>
    </w:tbl>
    <w:p>
      <w:pPr>
        <w:spacing w:after="160"/>
      </w:pP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Décisions métier réellement requises</w:t>
            </w:r>
          </w:p>
          <w:p>
            <w:r>
              <w:t xml:space="preserve">Aucune. L'ensemble des points ci-dessus se résout par une décision technique ferme et évidente, appliquée directement (conformément à la consigne de trancher plutôt que d'ouvrir des options multiples). Aucun arbitrage produit ou métier n'a été laissé en suspens.</w:t>
            </w:r>
          </w:p>
        </w:tc>
      </w:tr>
    </w:tbl>
    <w:p>
      <w:r>
        <w:br w:type="page"/>
      </w:r>
    </w:p>
    <w:p>
      <w:pPr>
        <w:pStyle w:val="Heading1"/>
        <w:pBdr>
          <w:bottom w:val="single" w:color="C9A15B" w:sz="12" w:space="4"/>
        </w:pBdr>
        <w:spacing w:after="240" w:before="480"/>
      </w:pPr>
      <w:r>
        <w:rPr>
          <w:b/>
          <w:bCs/>
          <w:color w:val="16161A"/>
        </w:rPr>
        <w:t xml:space="preserve">2. Architecture Decision Records (ADR)</w:t>
      </w:r>
    </w:p>
    <w:p>
      <w:pPr>
        <w:spacing w:after="160"/>
      </w:pPr>
      <w:r>
        <w:t xml:space="preserve">Chaque décision structurante de cette revue de cohérence est documentée ci-dessous au format ADR standard : contexte, décision, conséquences, alternatives écartées.</w:t>
      </w:r>
    </w:p>
    <w:p>
      <w:pPr>
        <w:pStyle w:val="Heading2"/>
        <w:pBdr>
          <w:top w:val="single" w:color="C9A15B" w:sz="8" w:space="6"/>
        </w:pBdr>
        <w:spacing w:after="160" w:before="360"/>
      </w:pPr>
      <w:r>
        <w:rPr>
          <w:b/>
          <w:bCs/>
          <w:color w:val="8A6A2F"/>
        </w:rPr>
        <w:t xml:space="preserve">ADR-001 — Dépendance ApexCharts distincte de @adminlte/react</w:t>
      </w:r>
    </w:p>
    <w:p>
      <w:pPr>
        <w:spacing w:after="80"/>
      </w:pPr>
      <w:r>
        <w:rPr>
          <w:b/>
          <w:bCs/>
        </w:rPr>
        <w:t xml:space="preserve">Statut — </w:t>
      </w:r>
      <w:r>
        <w:t xml:space="preserve">Accepté</w:t>
      </w:r>
    </w:p>
    <w:p>
      <w:pPr>
        <w:pStyle w:val="Heading4"/>
        <w:spacing w:after="100" w:before="200"/>
      </w:pPr>
      <w:r>
        <w:rPr>
          <w:b/>
          <w:bCs/>
          <w:color w:val="444444"/>
        </w:rPr>
        <w:t xml:space="preserve">Contexte</w:t>
      </w:r>
    </w:p>
    <w:p>
      <w:pPr>
        <w:spacing w:after="160"/>
      </w:pPr>
      <w:r>
        <w:t xml:space="preserve">La spécification Back-Office V1.0 affirmait qu'ApexCharts était « déjà inclus dans @adminlte/react ». La documentation officielle du port React (docs.adminlte.io/react) précise que la librairie expose des composants wrappers (ApexChart, SparklineChart) chargés en import dynamique, mais qu'apexcharts lui-même doit être ajouté comme dépendance du projet consommateur — il n'est pas vendu à l'intérieur du paquet @adminlte/react.</w:t>
      </w:r>
    </w:p>
    <w:p>
      <w:pPr>
        <w:pStyle w:val="Heading4"/>
        <w:spacing w:after="100" w:before="200"/>
      </w:pPr>
      <w:r>
        <w:rPr>
          <w:b/>
          <w:bCs/>
          <w:color w:val="444444"/>
        </w:rPr>
        <w:t xml:space="preserve">Décision</w:t>
      </w:r>
    </w:p>
    <w:p>
      <w:pPr>
        <w:spacing w:after="160"/>
      </w:pPr>
      <w:r>
        <w:t xml:space="preserve">apexcharts est déclaré comme dépendance npm séparée et explicite : npm install @adminlte/react bootstrap bootstrap-icons apexcharts. Aucune autre bibliothèque de graphiques n'est introduite.</w:t>
      </w:r>
    </w:p>
    <w:p>
      <w:pPr>
        <w:pStyle w:val="Heading4"/>
        <w:spacing w:after="100" w:before="200"/>
      </w:pPr>
      <w:r>
        <w:rPr>
          <w:b/>
          <w:bCs/>
          <w:color w:val="444444"/>
        </w:rPr>
        <w:t xml:space="preserve">Conséquences</w:t>
      </w:r>
    </w:p>
    <w:p>
      <w:pPr>
        <w:pStyle w:val="ListParagraph"/>
        <w:numPr>
          <w:ilvl w:val="0"/>
          <w:numId w:val="1"/>
        </w:numPr>
        <w:spacing w:after="60"/>
      </w:pPr>
      <w:r>
        <w:t xml:space="preserve">Positif : installation reproductible, pas de surprise de build liée à une dépendance transitive non déclarée.</w:t>
      </w:r>
    </w:p>
    <w:p>
      <w:pPr>
        <w:pStyle w:val="ListParagraph"/>
        <w:numPr>
          <w:ilvl w:val="0"/>
          <w:numId w:val="1"/>
        </w:numPr>
        <w:spacing w:after="60"/>
      </w:pPr>
      <w:r>
        <w:t xml:space="preserve">Positif : cohérent avec le principe « no required runtime dependencies beyond peers » documenté par AdminLTE React.</w:t>
      </w:r>
    </w:p>
    <w:p>
      <w:pPr>
        <w:pStyle w:val="ListParagraph"/>
        <w:numPr>
          <w:ilvl w:val="0"/>
          <w:numId w:val="1"/>
        </w:numPr>
        <w:spacing w:after="60"/>
      </w:pPr>
      <w:r>
        <w:t xml:space="preserve">Négatif : une ligne d'installation supplémentaire à maintenir si la version d'apexcharts évolue indépendamment d'@adminlte/react.</w:t>
      </w:r>
    </w:p>
    <w:p>
      <w:pPr>
        <w:pStyle w:val="Heading4"/>
        <w:spacing w:after="100" w:before="200"/>
      </w:pPr>
      <w:r>
        <w:rPr>
          <w:b/>
          <w:bCs/>
          <w:color w:val="444444"/>
        </w:rPr>
        <w:t xml:space="preserve">Alternatives considérées</w:t>
      </w:r>
    </w:p>
    <w:p>
      <w:pPr>
        <w:pStyle w:val="ListParagraph"/>
        <w:numPr>
          <w:ilvl w:val="0"/>
          <w:numId w:val="1"/>
        </w:numPr>
        <w:spacing w:after="60"/>
      </w:pPr>
      <w:r>
        <w:t xml:space="preserve">Utiliser une autre librairie de graphiques (Chart.js, Recharts) — écarté : aucun bénéfice, complexifie l'intégration avec les wrappers déjà fournis par AdminLTE.</w:t>
      </w:r>
    </w:p>
    <w:p>
      <w:pPr>
        <w:pStyle w:val="ListParagraph"/>
        <w:numPr>
          <w:ilvl w:val="0"/>
          <w:numId w:val="1"/>
        </w:numPr>
        <w:spacing w:after="60"/>
      </w:pPr>
      <w:r>
        <w:t xml:space="preserve">Ne pas utiliser de graphiques et se limiter à des tableaux de chiffres — écarté : le Cahier des charges exige explicitement des graphiques au Dashboard.</w:t>
      </w:r>
    </w:p>
    <w:p>
      <w:pPr>
        <w:spacing w:after="200"/>
      </w:pPr>
    </w:p>
    <w:p>
      <w:pPr>
        <w:pStyle w:val="Heading2"/>
        <w:pBdr>
          <w:top w:val="single" w:color="C9A15B" w:sz="8" w:space="6"/>
        </w:pBdr>
        <w:spacing w:after="160" w:before="360"/>
      </w:pPr>
      <w:r>
        <w:rPr>
          <w:b/>
          <w:bCs/>
          <w:color w:val="8A6A2F"/>
        </w:rPr>
        <w:t xml:space="preserve">ADR-002 — TOTP + codes de secours comme mécanisme de 2FA administrateur</w:t>
      </w:r>
    </w:p>
    <w:p>
      <w:pPr>
        <w:spacing w:after="80"/>
      </w:pPr>
      <w:r>
        <w:rPr>
          <w:b/>
          <w:bCs/>
        </w:rPr>
        <w:t xml:space="preserve">Statut — </w:t>
      </w:r>
      <w:r>
        <w:t xml:space="preserve">Accepté</w:t>
      </w:r>
    </w:p>
    <w:p>
      <w:pPr>
        <w:pStyle w:val="Heading4"/>
        <w:spacing w:after="100" w:before="200"/>
      </w:pPr>
      <w:r>
        <w:rPr>
          <w:b/>
          <w:bCs/>
          <w:color w:val="444444"/>
        </w:rPr>
        <w:t xml:space="preserve">Contexte</w:t>
      </w:r>
    </w:p>
    <w:p>
      <w:pPr>
        <w:spacing w:after="160"/>
      </w:pPr>
      <w:r>
        <w:t xml:space="preserve">La spécification Back-Office V1.0 décrivait un code à 6 chiffres envoyé par e-mail comme second facteur. Ce mécanisme est plus faible qu'une application TOTP (dépendant de la sécurité de la boîte e-mail, latence de délivrance, pas de fonctionnement hors-ligne) et ne correspond pas aux standards attendus pour un back-office manipulant des données financières. Le Cahier des charges V4 impose une 2FA obligatoire pour l'administration (§16.2, §17.1) sans fixer la méthode exacte — la marge de manœuvre technique est donc entière.</w:t>
      </w:r>
    </w:p>
    <w:p>
      <w:pPr>
        <w:pStyle w:val="Heading4"/>
        <w:spacing w:after="100" w:before="200"/>
      </w:pPr>
      <w:r>
        <w:rPr>
          <w:b/>
          <w:bCs/>
          <w:color w:val="444444"/>
        </w:rPr>
        <w:t xml:space="preserve">Décision</w:t>
      </w:r>
    </w:p>
    <w:p>
      <w:pPr>
        <w:spacing w:after="160"/>
      </w:pPr>
      <w:r>
        <w:t xml:space="preserve">Adoption du TOTP (RFC 6238, HMAC-SHA1, 6 chiffres, pas de 30s) compatible Google Authenticator/Microsoft Authenticator/1Password/Authy, avec un lot de 10 codes de secours à usage unique en méthode de repli. L'e-mail devient strictement un canal d'alerte de sécurité et de récupération du mot de passe, jamais un facteur d'authentification.</w:t>
      </w:r>
    </w:p>
    <w:p>
      <w:pPr>
        <w:pStyle w:val="Heading4"/>
        <w:spacing w:after="100" w:before="200"/>
      </w:pPr>
      <w:r>
        <w:rPr>
          <w:b/>
          <w:bCs/>
          <w:color w:val="444444"/>
        </w:rPr>
        <w:t xml:space="preserve">Conséquences</w:t>
      </w:r>
    </w:p>
    <w:p>
      <w:pPr>
        <w:pStyle w:val="ListParagraph"/>
        <w:numPr>
          <w:ilvl w:val="0"/>
          <w:numId w:val="1"/>
        </w:numPr>
        <w:spacing w:after="60"/>
      </w:pPr>
      <w:r>
        <w:t xml:space="preserve">Positif : résistant au phishing par interception d'e-mail, fonctionne hors-ligne, standard de l'industrie pour les back-offices sensibles.</w:t>
      </w:r>
    </w:p>
    <w:p>
      <w:pPr>
        <w:pStyle w:val="ListParagraph"/>
        <w:numPr>
          <w:ilvl w:val="0"/>
          <w:numId w:val="1"/>
        </w:numPr>
        <w:spacing w:after="60"/>
      </w:pPr>
      <w:r>
        <w:t xml:space="preserve">Positif : les codes de secours évitent une dépendance totale au support en cas de perte d'appareil.</w:t>
      </w:r>
    </w:p>
    <w:p>
      <w:pPr>
        <w:pStyle w:val="ListParagraph"/>
        <w:numPr>
          <w:ilvl w:val="0"/>
          <w:numId w:val="1"/>
        </w:numPr>
        <w:spacing w:after="60"/>
      </w:pPr>
      <w:r>
        <w:t xml:space="preserve">Négatif : complexité d'implémentation légèrement supérieure (génération de secret, QR code, gestion des codes de secours) — jugée nécessaire et proportionnée.</w:t>
      </w:r>
    </w:p>
    <w:p>
      <w:pPr>
        <w:pStyle w:val="ListParagraph"/>
        <w:numPr>
          <w:ilvl w:val="0"/>
          <w:numId w:val="1"/>
        </w:numPr>
        <w:spacing w:after="60"/>
      </w:pPr>
      <w:r>
        <w:t xml:space="preserve">Négatif : nécessite une procédure opérationnelle hors-UI pour le cas extrême de perte simultanée du mot de passe et de l'accès TOTP/codes de secours (restauration manuelle par un super_admin via un outil serveur, hors périmètre de ce document).</w:t>
      </w:r>
    </w:p>
    <w:p>
      <w:pPr>
        <w:pStyle w:val="Heading4"/>
        <w:spacing w:after="100" w:before="200"/>
      </w:pPr>
      <w:r>
        <w:rPr>
          <w:b/>
          <w:bCs/>
          <w:color w:val="444444"/>
        </w:rPr>
        <w:t xml:space="preserve">Alternatives considérées</w:t>
      </w:r>
    </w:p>
    <w:p>
      <w:pPr>
        <w:pStyle w:val="ListParagraph"/>
        <w:numPr>
          <w:ilvl w:val="0"/>
          <w:numId w:val="1"/>
        </w:numPr>
        <w:spacing w:after="60"/>
      </w:pPr>
      <w:r>
        <w:t xml:space="preserve">Conserver le code par e-mail — écarté : sécurité insuffisante pour un outil manipulant remboursements et retraits.</w:t>
      </w:r>
    </w:p>
    <w:p>
      <w:pPr>
        <w:pStyle w:val="ListParagraph"/>
        <w:numPr>
          <w:ilvl w:val="0"/>
          <w:numId w:val="1"/>
        </w:numPr>
        <w:spacing w:after="60"/>
      </w:pPr>
      <w:r>
        <w:t xml:space="preserve">SMS OTP (comme côté mobile) — écarté : coût récurrent par SMS pour un usage interne à faible volume d'utilisateurs, et moins robuste que TOTP contre l'interception (SIM swapping).</w:t>
      </w:r>
    </w:p>
    <w:p>
      <w:pPr>
        <w:pStyle w:val="ListParagraph"/>
        <w:numPr>
          <w:ilvl w:val="0"/>
          <w:numId w:val="1"/>
        </w:numPr>
        <w:spacing w:after="60"/>
      </w:pPr>
      <w:r>
        <w:t xml:space="preserve">Clé de sécurité matérielle (WebAuthn/FIDO2) — écarté pour le MVP : complexité de déploiement et de support matériel disproportionnée pour une équipe interne restreinte ; à reconsidérer en V2 si le nombre d'administrateurs croît significativement.</w:t>
      </w:r>
    </w:p>
    <w:p>
      <w:pPr>
        <w:spacing w:after="200"/>
      </w:pPr>
    </w:p>
    <w:p>
      <w:pPr>
        <w:pStyle w:val="Heading2"/>
        <w:pBdr>
          <w:top w:val="single" w:color="C9A15B" w:sz="8" w:space="6"/>
        </w:pBdr>
        <w:spacing w:after="160" w:before="360"/>
      </w:pPr>
      <w:r>
        <w:rPr>
          <w:b/>
          <w:bCs/>
          <w:color w:val="8A6A2F"/>
        </w:rPr>
        <w:t xml:space="preserve">ADR-003 — Endpoints Dashboard indépendants</w:t>
      </w:r>
    </w:p>
    <w:p>
      <w:pPr>
        <w:spacing w:after="80"/>
      </w:pPr>
      <w:r>
        <w:rPr>
          <w:b/>
          <w:bCs/>
        </w:rPr>
        <w:t xml:space="preserve">Statut — </w:t>
      </w:r>
      <w:r>
        <w:t xml:space="preserve">Accepté</w:t>
      </w:r>
    </w:p>
    <w:p>
      <w:pPr>
        <w:pStyle w:val="Heading4"/>
        <w:spacing w:after="100" w:before="200"/>
      </w:pPr>
      <w:r>
        <w:rPr>
          <w:b/>
          <w:bCs/>
          <w:color w:val="444444"/>
        </w:rPr>
        <w:t xml:space="preserve">Contexte</w:t>
      </w:r>
    </w:p>
    <w:p>
      <w:pPr>
        <w:spacing w:after="160"/>
      </w:pPr>
      <w:r>
        <w:t xml:space="preserve">La spécification Back-Office V1.0 déclarait un endpoint unique GET /admin/dashboard/summary tout en exigeant, dans la même fiche d'écran, que chaque bloc du Dashboard se charge indépendamment pour qu'un bloc lent ou en échec ne bloque pas les autres — contradiction interne directe. Cet endpoint n'existait par ailleurs dans aucune version de l'Engineering Specification.</w:t>
      </w:r>
    </w:p>
    <w:p>
      <w:pPr>
        <w:pStyle w:val="Heading4"/>
        <w:spacing w:after="100" w:before="200"/>
      </w:pPr>
      <w:r>
        <w:rPr>
          <w:b/>
          <w:bCs/>
          <w:color w:val="444444"/>
        </w:rPr>
        <w:t xml:space="preserve">Décision</w:t>
      </w:r>
    </w:p>
    <w:p>
      <w:pPr>
        <w:spacing w:after="160"/>
      </w:pPr>
      <w:r>
        <w:t xml:space="preserve">Le Dashboard s'appuie sur 6 endpoints indépendants (kpis, sales-trend, security-alerts, top-content, top-artists, pending-payouts), chacun avec son propre cache (60s), son propre filtrage par rôle, et gérés côté client comme 6 requêtes parallèles indépendantes.</w:t>
      </w:r>
    </w:p>
    <w:p>
      <w:pPr>
        <w:pStyle w:val="Heading4"/>
        <w:spacing w:after="100" w:before="200"/>
      </w:pPr>
      <w:r>
        <w:rPr>
          <w:b/>
          <w:bCs/>
          <w:color w:val="444444"/>
        </w:rPr>
        <w:t xml:space="preserve">Conséquences</w:t>
      </w:r>
    </w:p>
    <w:p>
      <w:pPr>
        <w:pStyle w:val="ListParagraph"/>
        <w:numPr>
          <w:ilvl w:val="0"/>
          <w:numId w:val="1"/>
        </w:numPr>
        <w:spacing w:after="60"/>
      </w:pPr>
      <w:r>
        <w:t xml:space="preserve">Positif : élimine la contradiction ; un bloc en échec (ex. alertes de sécurité) n'empêche jamais l'affichage des autres.</w:t>
      </w:r>
    </w:p>
    <w:p>
      <w:pPr>
        <w:pStyle w:val="ListParagraph"/>
        <w:numPr>
          <w:ilvl w:val="0"/>
          <w:numId w:val="1"/>
        </w:numPr>
        <w:spacing w:after="60"/>
      </w:pPr>
      <w:r>
        <w:t xml:space="preserve">Positif : permet un filtrage par rôle précis au niveau de chaque endpoint plutôt qu'un filtrage a posteriori d'une charge utile unique.</w:t>
      </w:r>
    </w:p>
    <w:p>
      <w:pPr>
        <w:pStyle w:val="ListParagraph"/>
        <w:numPr>
          <w:ilvl w:val="0"/>
          <w:numId w:val="1"/>
        </w:numPr>
        <w:spacing w:after="60"/>
      </w:pPr>
      <w:r>
        <w:t xml:space="preserve">Négatif : 6 requêtes réseau au lieu d'une au chargement du Dashboard — jugé négligeable pour un usage interne à faible latence (cache serveur 60s absorbant les rafraîchissements répétés).</w:t>
      </w:r>
    </w:p>
    <w:p>
      <w:pPr>
        <w:pStyle w:val="Heading4"/>
        <w:spacing w:after="100" w:before="200"/>
      </w:pPr>
      <w:r>
        <w:rPr>
          <w:b/>
          <w:bCs/>
          <w:color w:val="444444"/>
        </w:rPr>
        <w:t xml:space="preserve">Alternatives considérées</w:t>
      </w:r>
    </w:p>
    <w:p>
      <w:pPr>
        <w:pStyle w:val="ListParagraph"/>
        <w:numPr>
          <w:ilvl w:val="0"/>
          <w:numId w:val="1"/>
        </w:numPr>
        <w:spacing w:after="60"/>
      </w:pPr>
      <w:r>
        <w:t xml:space="preserve">Un seul endpoint agrégé avec des sous-clés partielles en échec possible — écarté : complexifie inutilement la gestion d'erreur côté client (un seul contrat de réponse à états multiples) pour un bénéfice réseau marginal.</w:t>
      </w:r>
    </w:p>
    <w:p>
      <w:pPr>
        <w:pStyle w:val="ListParagraph"/>
        <w:numPr>
          <w:ilvl w:val="0"/>
          <w:numId w:val="1"/>
        </w:numPr>
        <w:spacing w:after="60"/>
      </w:pPr>
      <w:r>
        <w:t xml:space="preserve">GraphQL avec résolveurs indépendants par champ — écarté : introduirait une techno hors du choix d'architecture ferme (REST NestJS) sans bénéfice proportionné.</w:t>
      </w:r>
    </w:p>
    <w:p>
      <w:pPr>
        <w:spacing w:after="200"/>
      </w:pPr>
    </w:p>
    <w:p>
      <w:pPr>
        <w:pStyle w:val="Heading2"/>
        <w:pBdr>
          <w:top w:val="single" w:color="C9A15B" w:sz="8" w:space="6"/>
        </w:pBdr>
        <w:spacing w:after="160" w:before="360"/>
      </w:pPr>
      <w:r>
        <w:rPr>
          <w:b/>
          <w:bCs/>
          <w:color w:val="8A6A2F"/>
        </w:rPr>
        <w:t xml:space="preserve">ADR-004 — Formalisation de l'endpoint de lecture du journal d'audit</w:t>
      </w:r>
    </w:p>
    <w:p>
      <w:pPr>
        <w:spacing w:after="80"/>
      </w:pPr>
      <w:r>
        <w:rPr>
          <w:b/>
          <w:bCs/>
        </w:rPr>
        <w:t xml:space="preserve">Statut — </w:t>
      </w:r>
      <w:r>
        <w:t xml:space="preserve">Accepté</w:t>
      </w:r>
    </w:p>
    <w:p>
      <w:pPr>
        <w:pStyle w:val="Heading4"/>
        <w:spacing w:after="100" w:before="200"/>
      </w:pPr>
      <w:r>
        <w:rPr>
          <w:b/>
          <w:bCs/>
          <w:color w:val="444444"/>
        </w:rPr>
        <w:t xml:space="preserve">Contexte</w:t>
      </w:r>
    </w:p>
    <w:p>
      <w:pPr>
        <w:spacing w:after="160"/>
      </w:pPr>
      <w:r>
        <w:t xml:space="preserve">Le modèle Prisma AuditLog existe depuis la V1 de l'Engineering Specification, mais aucun endpoint de lecture n'avait jamais été spécifié formellement, alors que le Back-Office prévoit un écran dédié (§6.27) et que le Cahier des charges (§16, §22) exige une traçabilité complète et consultable.</w:t>
      </w:r>
    </w:p>
    <w:p>
      <w:pPr>
        <w:pStyle w:val="Heading4"/>
        <w:spacing w:after="100" w:before="200"/>
      </w:pPr>
      <w:r>
        <w:rPr>
          <w:b/>
          <w:bCs/>
          <w:color w:val="444444"/>
        </w:rPr>
        <w:t xml:space="preserve">Décision</w:t>
      </w:r>
    </w:p>
    <w:p>
      <w:pPr>
        <w:spacing w:after="160"/>
      </w:pPr>
      <w:r>
        <w:t xml:space="preserve">Ajout de GET /admin/audit-logs (liste, filtres, pagination curseur, tri décroissant par date) et GET /admin/audit-logs/export (asynchrone), tous deux strictement réservés au rôle super_admin, en lecture seule absolue (aucune méthode d'écriture n'existe sur cette ressource, ni au contrôleur ni au service).</w:t>
      </w:r>
    </w:p>
    <w:p>
      <w:pPr>
        <w:pStyle w:val="Heading4"/>
        <w:spacing w:after="100" w:before="200"/>
      </w:pPr>
      <w:r>
        <w:rPr>
          <w:b/>
          <w:bCs/>
          <w:color w:val="444444"/>
        </w:rPr>
        <w:t xml:space="preserve">Conséquences</w:t>
      </w:r>
    </w:p>
    <w:p>
      <w:pPr>
        <w:pStyle w:val="ListParagraph"/>
        <w:numPr>
          <w:ilvl w:val="0"/>
          <w:numId w:val="1"/>
        </w:numPr>
        <w:spacing w:after="60"/>
      </w:pPr>
      <w:r>
        <w:t xml:space="preserve">Positif : traçabilité effectivement consultable, condition nécessaire à l'exigence d'audit du Cahier des charges.</w:t>
      </w:r>
    </w:p>
    <w:p>
      <w:pPr>
        <w:pStyle w:val="ListParagraph"/>
        <w:numPr>
          <w:ilvl w:val="0"/>
          <w:numId w:val="1"/>
        </w:numPr>
        <w:spacing w:after="60"/>
      </w:pPr>
      <w:r>
        <w:t xml:space="preserve">Positif : cohérent avec le pattern d'export asynchrone déjà en place pour la fidélité (même queue, mêmes garanties).</w:t>
      </w:r>
    </w:p>
    <w:p>
      <w:pPr>
        <w:pStyle w:val="ListParagraph"/>
        <w:numPr>
          <w:ilvl w:val="0"/>
          <w:numId w:val="1"/>
        </w:numPr>
        <w:spacing w:after="60"/>
      </w:pPr>
      <w:r>
        <w:t xml:space="preserve">Négatif : aucune — ajout pur, sans impact sur l'existant.</w:t>
      </w:r>
    </w:p>
    <w:p>
      <w:pPr>
        <w:pStyle w:val="Heading4"/>
        <w:spacing w:after="100" w:before="200"/>
      </w:pPr>
      <w:r>
        <w:rPr>
          <w:b/>
          <w:bCs/>
          <w:color w:val="444444"/>
        </w:rPr>
        <w:t xml:space="preserve">Alternatives considérées</w:t>
      </w:r>
    </w:p>
    <w:p>
      <w:pPr>
        <w:pStyle w:val="ListParagraph"/>
        <w:numPr>
          <w:ilvl w:val="0"/>
          <w:numId w:val="1"/>
        </w:numPr>
        <w:spacing w:after="60"/>
      </w:pPr>
      <w:r>
        <w:t xml:space="preserve">Exposer l'AuditLog uniquement via un accès base de données direct (hors API) — écarté : contredit l'exigence du Cahier des charges §22.6 (« sans intervention en base de données directe »).</w:t>
      </w:r>
    </w:p>
    <w:p>
      <w:pPr>
        <w:spacing w:after="200"/>
      </w:pPr>
    </w:p>
    <w:p>
      <w:pPr>
        <w:pStyle w:val="Heading2"/>
        <w:pBdr>
          <w:top w:val="single" w:color="C9A15B" w:sz="8" w:space="6"/>
        </w:pBdr>
        <w:spacing w:after="160" w:before="360"/>
      </w:pPr>
      <w:r>
        <w:rPr>
          <w:b/>
          <w:bCs/>
          <w:color w:val="8A6A2F"/>
        </w:rPr>
        <w:t xml:space="preserve">ADR-005 — Modèle AdminSession et définition formelle de la « 2FA récente »</w:t>
      </w:r>
    </w:p>
    <w:p>
      <w:pPr>
        <w:spacing w:after="80"/>
      </w:pPr>
      <w:r>
        <w:rPr>
          <w:b/>
          <w:bCs/>
        </w:rPr>
        <w:t xml:space="preserve">Statut — </w:t>
      </w:r>
      <w:r>
        <w:t xml:space="preserve">Accepté</w:t>
      </w:r>
    </w:p>
    <w:p>
      <w:pPr>
        <w:pStyle w:val="Heading4"/>
        <w:spacing w:after="100" w:before="200"/>
      </w:pPr>
      <w:r>
        <w:rPr>
          <w:b/>
          <w:bCs/>
          <w:color w:val="444444"/>
        </w:rPr>
        <w:t xml:space="preserve">Contexte</w:t>
      </w:r>
    </w:p>
    <w:p>
      <w:pPr>
        <w:spacing w:after="160"/>
      </w:pPr>
      <w:r>
        <w:t xml:space="preserve">L'expression « 2FA récente (&lt; 5 min) » était utilisée de façon cohérente dans tous les documents mais ne s'appuyait sur aucun état persisté : rien dans le schéma Prisma V1 ne permettait à TwoFactorGuard de savoir quand la dernière vérification 2FA avait eu lieu pour une session admin donnée. De même, aucun modèle ne permettait de révoquer une session admin ni de faire respecter une durée de session définie.</w:t>
      </w:r>
    </w:p>
    <w:p>
      <w:pPr>
        <w:pStyle w:val="Heading4"/>
        <w:spacing w:after="100" w:before="200"/>
      </w:pPr>
      <w:r>
        <w:rPr>
          <w:b/>
          <w:bCs/>
          <w:color w:val="444444"/>
        </w:rPr>
        <w:t xml:space="preserve">Décision</w:t>
      </w:r>
    </w:p>
    <w:p>
      <w:pPr>
        <w:spacing w:after="160"/>
      </w:pPr>
      <w:r>
        <w:t xml:space="preserve">Introduction du modèle AdminSession (jwtId, lastTwoFactorAt, expiresAt, revokedAt), mirroir du modèle Session déjà utilisé côté mobile. « 2FA récente » est formellement définie comme AdminSession.lastTwoFactorAt &lt; 5 minutes au moment de l'action sensible.</w:t>
      </w:r>
    </w:p>
    <w:p>
      <w:pPr>
        <w:pStyle w:val="Heading4"/>
        <w:spacing w:after="100" w:before="200"/>
      </w:pPr>
      <w:r>
        <w:rPr>
          <w:b/>
          <w:bCs/>
          <w:color w:val="444444"/>
        </w:rPr>
        <w:t xml:space="preserve">Conséquences</w:t>
      </w:r>
    </w:p>
    <w:p>
      <w:pPr>
        <w:pStyle w:val="ListParagraph"/>
        <w:numPr>
          <w:ilvl w:val="0"/>
          <w:numId w:val="1"/>
        </w:numPr>
        <w:spacing w:after="60"/>
      </w:pPr>
      <w:r>
        <w:t xml:space="preserve">Positif : rend l'exigence « 2FA récente » techniquement vérifiable et testable (cf. tests TOTP, Back-Office §12).</w:t>
      </w:r>
    </w:p>
    <w:p>
      <w:pPr>
        <w:pStyle w:val="ListParagraph"/>
        <w:numPr>
          <w:ilvl w:val="0"/>
          <w:numId w:val="1"/>
        </w:numPr>
        <w:spacing w:after="60"/>
      </w:pPr>
      <w:r>
        <w:t xml:space="preserve">Positif : permet la révocation immédiate d'une session admin (cohérent avec l'écran Sécurité §6.22 du Back-Office).</w:t>
      </w:r>
    </w:p>
    <w:p>
      <w:pPr>
        <w:pStyle w:val="ListParagraph"/>
        <w:numPr>
          <w:ilvl w:val="0"/>
          <w:numId w:val="1"/>
        </w:numPr>
        <w:spacing w:after="60"/>
      </w:pPr>
      <w:r>
        <w:t xml:space="preserve">Négatif : ajout d'un modèle et d'une table à maintenir — jugé indispensable, pas un choix de confort.</w:t>
      </w:r>
    </w:p>
    <w:p>
      <w:pPr>
        <w:pStyle w:val="Heading4"/>
        <w:spacing w:after="100" w:before="200"/>
      </w:pPr>
      <w:r>
        <w:rPr>
          <w:b/>
          <w:bCs/>
          <w:color w:val="444444"/>
        </w:rPr>
        <w:t xml:space="preserve">Alternatives considérées</w:t>
      </w:r>
    </w:p>
    <w:p>
      <w:pPr>
        <w:pStyle w:val="ListParagraph"/>
        <w:numPr>
          <w:ilvl w:val="0"/>
          <w:numId w:val="1"/>
        </w:numPr>
        <w:spacing w:after="60"/>
      </w:pPr>
      <w:r>
        <w:t xml:space="preserve">Stocker lastTwoFactorAt dans le payload JWT lui-même plutôt que dans une table — écarté : un JWT stateless ne peut pas être invalidé/rafraîchi sans réémission complète, ce qui rendrait la révocation immédiate impossible (incohérent avec le modèle mobile déjà retenu, qui vérifie systématiquement une Session vivante).</w:t>
      </w:r>
    </w:p>
    <w:p>
      <w:pPr>
        <w:spacing w:after="200"/>
      </w:pPr>
    </w:p>
    <w:p>
      <w:pPr>
        <w:pStyle w:val="Heading2"/>
        <w:pBdr>
          <w:top w:val="single" w:color="C9A15B" w:sz="8" w:space="6"/>
        </w:pBdr>
        <w:spacing w:after="160" w:before="360"/>
      </w:pPr>
      <w:r>
        <w:rPr>
          <w:b/>
          <w:bCs/>
          <w:color w:val="8A6A2F"/>
        </w:rPr>
        <w:t xml:space="preserve">ADR-006 — Modèles Banner et PlatformConfig</w:t>
      </w:r>
    </w:p>
    <w:p>
      <w:pPr>
        <w:spacing w:after="80"/>
      </w:pPr>
      <w:r>
        <w:rPr>
          <w:b/>
          <w:bCs/>
        </w:rPr>
        <w:t xml:space="preserve">Statut — </w:t>
      </w:r>
      <w:r>
        <w:t xml:space="preserve">Accepté</w:t>
      </w:r>
    </w:p>
    <w:p>
      <w:pPr>
        <w:pStyle w:val="Heading4"/>
        <w:spacing w:after="100" w:before="200"/>
      </w:pPr>
      <w:r>
        <w:rPr>
          <w:b/>
          <w:bCs/>
          <w:color w:val="444444"/>
        </w:rPr>
        <w:t xml:space="preserve">Contexte</w:t>
      </w:r>
    </w:p>
    <w:p>
      <w:pPr>
        <w:spacing w:after="160"/>
      </w:pPr>
      <w:r>
        <w:t xml:space="preserve">Le Cahier des charges §16.1 liste « Bannières éditoriales » et « Configuration (commission par défaut, politique d'appareils, seuils de sécurité, seuils de fidélité) » comme fonctions du back-office. Le Back-Office V1.0 spécifiait des écrans pour ces deux fonctions (§6.25, §6.26) mais aucun modèle Prisma ne les portait — seul LoyaltyTierConfig existait, et uniquement pour la fidélité.</w:t>
      </w:r>
    </w:p>
    <w:p>
      <w:pPr>
        <w:pStyle w:val="Heading4"/>
        <w:spacing w:after="100" w:before="200"/>
      </w:pPr>
      <w:r>
        <w:rPr>
          <w:b/>
          <w:bCs/>
          <w:color w:val="444444"/>
        </w:rPr>
        <w:t xml:space="preserve">Décision</w:t>
      </w:r>
    </w:p>
    <w:p>
      <w:pPr>
        <w:spacing w:after="160"/>
      </w:pPr>
      <w:r>
        <w:t xml:space="preserve">Ajout du modèle Banner (contenu éditorial affiché en carrousel mobile, gestion CRUD admin) et du modèle singleton PlatformConfig (commission par défaut, seuil de retrait minimal, moyens de paiement actifs).</w:t>
      </w:r>
    </w:p>
    <w:p>
      <w:pPr>
        <w:pStyle w:val="Heading4"/>
        <w:spacing w:after="100" w:before="200"/>
      </w:pPr>
      <w:r>
        <w:rPr>
          <w:b/>
          <w:bCs/>
          <w:color w:val="444444"/>
        </w:rPr>
        <w:t xml:space="preserve">Conséquences</w:t>
      </w:r>
    </w:p>
    <w:p>
      <w:pPr>
        <w:pStyle w:val="ListParagraph"/>
        <w:numPr>
          <w:ilvl w:val="0"/>
          <w:numId w:val="1"/>
        </w:numPr>
        <w:spacing w:after="60"/>
      </w:pPr>
      <w:r>
        <w:t xml:space="preserve">Positif : les écrans déjà spécifiés côté Back-Office ont désormais une destination de données réelle.</w:t>
      </w:r>
    </w:p>
    <w:p>
      <w:pPr>
        <w:pStyle w:val="ListParagraph"/>
        <w:numPr>
          <w:ilvl w:val="0"/>
          <w:numId w:val="1"/>
        </w:numPr>
        <w:spacing w:after="60"/>
      </w:pPr>
      <w:r>
        <w:t xml:space="preserve">Positif : PlatformConfig en singleton évite la sur-ingénierie d'un système de configuration générique à clé-valeur non nécessaire au périmètre MVP.</w:t>
      </w:r>
    </w:p>
    <w:p>
      <w:pPr>
        <w:pStyle w:val="ListParagraph"/>
        <w:numPr>
          <w:ilvl w:val="0"/>
          <w:numId w:val="1"/>
        </w:numPr>
        <w:spacing w:after="60"/>
      </w:pPr>
      <w:r>
        <w:t xml:space="preserve">Négatif : deux nouvelles tables à migrer — additive uniquement, aucun risque de rupture.</w:t>
      </w:r>
    </w:p>
    <w:p>
      <w:pPr>
        <w:pStyle w:val="Heading4"/>
        <w:spacing w:after="100" w:before="200"/>
      </w:pPr>
      <w:r>
        <w:rPr>
          <w:b/>
          <w:bCs/>
          <w:color w:val="444444"/>
        </w:rPr>
        <w:t xml:space="preserve">Alternatives considérées</w:t>
      </w:r>
    </w:p>
    <w:p>
      <w:pPr>
        <w:pStyle w:val="ListParagraph"/>
        <w:numPr>
          <w:ilvl w:val="0"/>
          <w:numId w:val="1"/>
        </w:numPr>
        <w:spacing w:after="60"/>
      </w:pPr>
      <w:r>
        <w:t xml:space="preserve">Stocker la configuration dans des variables d'environnement plutôt qu'en base — écarté : empêche une modification par un super_admin sans redéploiement, contraire à l'exigence explicite du Cahier des charges (« ajustables... sans déploiement », §14.5).</w:t>
      </w:r>
    </w:p>
    <w:p>
      <w:pPr>
        <w:pStyle w:val="ListParagraph"/>
        <w:numPr>
          <w:ilvl w:val="0"/>
          <w:numId w:val="1"/>
        </w:numPr>
        <w:spacing w:after="60"/>
      </w:pPr>
      <w:r>
        <w:t xml:space="preserve">Un système de configuration générique clé-valeur (table ConfigEntry) — écarté au MVP : complexité non justifiée par le nombre réduit de paramètres actuels ; à reconsidérer si la liste de paramètres configurable croît significativement en V2.</w:t>
      </w:r>
    </w:p>
    <w:p>
      <w:pPr>
        <w:spacing w:after="200"/>
      </w:pPr>
    </w:p>
    <w:p>
      <w:pPr>
        <w:pStyle w:val="Heading2"/>
        <w:pBdr>
          <w:top w:val="single" w:color="C9A15B" w:sz="8" w:space="6"/>
        </w:pBdr>
        <w:spacing w:after="160" w:before="360"/>
      </w:pPr>
      <w:r>
        <w:rPr>
          <w:b/>
          <w:bCs/>
          <w:color w:val="8A6A2F"/>
        </w:rPr>
        <w:t xml:space="preserve">ADR-007 — Terminologie officielle — « Soutenir l'artiste » (VipSupport)</w:t>
      </w:r>
    </w:p>
    <w:p>
      <w:pPr>
        <w:spacing w:after="80"/>
      </w:pPr>
      <w:r>
        <w:rPr>
          <w:b/>
          <w:bCs/>
        </w:rPr>
        <w:t xml:space="preserve">Statut — </w:t>
      </w:r>
      <w:r>
        <w:t xml:space="preserve">Accepté</w:t>
      </w:r>
    </w:p>
    <w:p>
      <w:pPr>
        <w:pStyle w:val="Heading4"/>
        <w:spacing w:after="100" w:before="200"/>
      </w:pPr>
      <w:r>
        <w:rPr>
          <w:b/>
          <w:bCs/>
          <w:color w:val="444444"/>
        </w:rPr>
        <w:t xml:space="preserve">Contexte</w:t>
      </w:r>
    </w:p>
    <w:p>
      <w:pPr>
        <w:spacing w:after="160"/>
      </w:pPr>
      <w:r>
        <w:t xml:space="preserve">La UI/UX Design Specification mobile utilise, à un endroit (§4.9, liste des actions de ContentDetailScreen), la formulation « Soutenir l'artiste / Achat VIP » comme si les deux étaient des libellés interchangeables pour la même action utilisateur, alors que le reste du document (et le modèle de données VipSupport) emploie systématiquement « Soutenir l'artiste ».</w:t>
      </w:r>
    </w:p>
    <w:p>
      <w:pPr>
        <w:pStyle w:val="Heading4"/>
        <w:spacing w:after="100" w:before="200"/>
      </w:pPr>
      <w:r>
        <w:rPr>
          <w:b/>
          <w:bCs/>
          <w:color w:val="444444"/>
        </w:rPr>
        <w:t xml:space="preserve">Décision</w:t>
      </w:r>
    </w:p>
    <w:p>
      <w:pPr>
        <w:spacing w:after="160"/>
      </w:pPr>
      <w:r>
        <w:t xml:space="preserve">« Soutenir l'artiste » est le seul libellé utilisateur KORA+ pour cette fonctionnalité. « VipSupport » reste le nom de la classe/table technique, mentionné entre parenthèses dans la documentation quand utile. « Achat VIP » n'est conservé que comme référence explicite au comportement observé chez Empire Afrique dans les sections de benchmark, jamais comme libellé affiché à l'utilisateur KORA+.</w:t>
      </w:r>
    </w:p>
    <w:p>
      <w:pPr>
        <w:pStyle w:val="Heading4"/>
        <w:spacing w:after="100" w:before="200"/>
      </w:pPr>
      <w:r>
        <w:rPr>
          <w:b/>
          <w:bCs/>
          <w:color w:val="444444"/>
        </w:rPr>
        <w:t xml:space="preserve">Conséquences</w:t>
      </w:r>
    </w:p>
    <w:p>
      <w:pPr>
        <w:pStyle w:val="ListParagraph"/>
        <w:numPr>
          <w:ilvl w:val="0"/>
          <w:numId w:val="1"/>
        </w:numPr>
        <w:spacing w:after="60"/>
      </w:pPr>
      <w:r>
        <w:t xml:space="preserve">Positif : cohérence terminologique totale entre le modèle de données, les écrans et la documentation.</w:t>
      </w:r>
    </w:p>
    <w:p>
      <w:pPr>
        <w:pStyle w:val="ListParagraph"/>
        <w:numPr>
          <w:ilvl w:val="0"/>
          <w:numId w:val="1"/>
        </w:numPr>
        <w:spacing w:after="60"/>
      </w:pPr>
      <w:r>
        <w:t xml:space="preserve">Positif : évite toute ambiguïté pour Codex sur le texte exact à afficher dans l'interface.</w:t>
      </w:r>
    </w:p>
    <w:p>
      <w:pPr>
        <w:pStyle w:val="ListParagraph"/>
        <w:numPr>
          <w:ilvl w:val="0"/>
          <w:numId w:val="1"/>
        </w:numPr>
        <w:spacing w:after="60"/>
      </w:pPr>
      <w:r>
        <w:t xml:space="preserve">Négatif : nécessite une relecture ponctuelle de la puce concernée à la prochaine ouverture du document mobile (correction mineure, non bloquante, cf. REG-10).</w:t>
      </w:r>
    </w:p>
    <w:p>
      <w:pPr>
        <w:pStyle w:val="Heading4"/>
        <w:spacing w:after="100" w:before="200"/>
      </w:pPr>
      <w:r>
        <w:rPr>
          <w:b/>
          <w:bCs/>
          <w:color w:val="444444"/>
        </w:rPr>
        <w:t xml:space="preserve">Alternatives considérées</w:t>
      </w:r>
    </w:p>
    <w:p>
      <w:pPr>
        <w:pStyle w:val="ListParagraph"/>
        <w:numPr>
          <w:ilvl w:val="0"/>
          <w:numId w:val="1"/>
        </w:numPr>
        <w:spacing w:after="60"/>
      </w:pPr>
      <w:r>
        <w:t xml:space="preserve">Conserver « Achat VIP » comme terme principal — écarté : c'est le vocabulaire d'Empire Afrique, à ne jamais reproduire tel quel dans l'identité KORA+ (contrainte explicite du projet).</w:t>
      </w:r>
    </w:p>
    <w:p>
      <w:pPr>
        <w:spacing w:after="200"/>
      </w:pPr>
    </w:p>
    <w:p>
      <w:pPr>
        <w:pStyle w:val="Heading2"/>
        <w:pBdr>
          <w:top w:val="single" w:color="C9A15B" w:sz="8" w:space="6"/>
        </w:pBdr>
        <w:spacing w:after="160" w:before="360"/>
      </w:pPr>
      <w:r>
        <w:rPr>
          <w:b/>
          <w:bCs/>
          <w:color w:val="8A6A2F"/>
        </w:rPr>
        <w:t xml:space="preserve">ADR-008 — Durée et mécanisme de la session admin</w:t>
      </w:r>
    </w:p>
    <w:p>
      <w:pPr>
        <w:spacing w:after="80"/>
      </w:pPr>
      <w:r>
        <w:rPr>
          <w:b/>
          <w:bCs/>
        </w:rPr>
        <w:t xml:space="preserve">Statut — </w:t>
      </w:r>
      <w:r>
        <w:t xml:space="preserve">Accepté</w:t>
      </w:r>
    </w:p>
    <w:p>
      <w:pPr>
        <w:pStyle w:val="Heading4"/>
        <w:spacing w:after="100" w:before="200"/>
      </w:pPr>
      <w:r>
        <w:rPr>
          <w:b/>
          <w:bCs/>
          <w:color w:val="444444"/>
        </w:rPr>
        <w:t xml:space="preserve">Contexte</w:t>
      </w:r>
    </w:p>
    <w:p>
      <w:pPr>
        <w:spacing w:after="160"/>
      </w:pPr>
      <w:r>
        <w:t xml:space="preserve">Ni l'Engineering Specification V1 ni le Back-Office V1.0 ne précisaient la durée de vie d'une session administrateur, ni si elle reposait sur un JWT pur, un cookie de session opaque, ou une combinaison des deux — un point explicitement soulevé par l'audit de cohérence (§3.3 de la demande initiale).</w:t>
      </w:r>
    </w:p>
    <w:p>
      <w:pPr>
        <w:pStyle w:val="Heading4"/>
        <w:spacing w:after="100" w:before="200"/>
      </w:pPr>
      <w:r>
        <w:rPr>
          <w:b/>
          <w:bCs/>
          <w:color w:val="444444"/>
        </w:rPr>
        <w:t xml:space="preserve">Décision</w:t>
      </w:r>
    </w:p>
    <w:p>
      <w:pPr>
        <w:spacing w:after="160"/>
      </w:pPr>
      <w:r>
        <w:t xml:space="preserve">Access token JWT (RS256, réutilise l'infrastructure de signature mobile) de 15 minutes, transporté en cookie httpOnly/Secure/SameSite (jamais en localStorage). Refresh token également en cookie httpOnly, fenêtre glissante de 8 heures (une journée de travail), backé par le modèle AdminSession pour permettre une révocation immédiate.</w:t>
      </w:r>
    </w:p>
    <w:p>
      <w:pPr>
        <w:pStyle w:val="Heading4"/>
        <w:spacing w:after="100" w:before="200"/>
      </w:pPr>
      <w:r>
        <w:rPr>
          <w:b/>
          <w:bCs/>
          <w:color w:val="444444"/>
        </w:rPr>
        <w:t xml:space="preserve">Conséquences</w:t>
      </w:r>
    </w:p>
    <w:p>
      <w:pPr>
        <w:pStyle w:val="ListParagraph"/>
        <w:numPr>
          <w:ilvl w:val="0"/>
          <w:numId w:val="1"/>
        </w:numPr>
        <w:spacing w:after="60"/>
      </w:pPr>
      <w:r>
        <w:t xml:space="preserve">Positif : cohérent avec l'infrastructure JWT déjà en place côté mobile (même signature RS256), sans dupliquer un mécanisme différent.</w:t>
      </w:r>
    </w:p>
    <w:p>
      <w:pPr>
        <w:pStyle w:val="ListParagraph"/>
        <w:numPr>
          <w:ilvl w:val="0"/>
          <w:numId w:val="1"/>
        </w:numPr>
        <w:spacing w:after="60"/>
      </w:pPr>
      <w:r>
        <w:t xml:space="preserve">Positif : 8h glissantes équilibre confort d'usage (pas de reconnexion toutes les 15 minutes) et surface d'exposition réduite (jamais plus d'une journée sans re-authentification complète).</w:t>
      </w:r>
    </w:p>
    <w:p>
      <w:pPr>
        <w:pStyle w:val="ListParagraph"/>
        <w:numPr>
          <w:ilvl w:val="0"/>
          <w:numId w:val="1"/>
        </w:numPr>
        <w:spacing w:after="60"/>
      </w:pPr>
      <w:r>
        <w:t xml:space="preserve">Négatif : plus court que la session mobile (30 jours) — différence assumée et documentée, la sensibilité d'un accès back-office justifiant une fenêtre plus courte.</w:t>
      </w:r>
    </w:p>
    <w:p>
      <w:pPr>
        <w:pStyle w:val="Heading4"/>
        <w:spacing w:after="100" w:before="200"/>
      </w:pPr>
      <w:r>
        <w:rPr>
          <w:b/>
          <w:bCs/>
          <w:color w:val="444444"/>
        </w:rPr>
        <w:t xml:space="preserve">Alternatives considérées</w:t>
      </w:r>
    </w:p>
    <w:p>
      <w:pPr>
        <w:pStyle w:val="ListParagraph"/>
        <w:numPr>
          <w:ilvl w:val="0"/>
          <w:numId w:val="1"/>
        </w:numPr>
        <w:spacing w:after="60"/>
      </w:pPr>
      <w:r>
        <w:t xml:space="preserve">Aligner la durée de session admin sur celle du mobile (30 jours) — écarté : disproportionné pour un accès à des fonctions financières sensibles.</w:t>
      </w:r>
    </w:p>
    <w:p>
      <w:pPr>
        <w:pStyle w:val="ListParagraph"/>
        <w:numPr>
          <w:ilvl w:val="0"/>
          <w:numId w:val="1"/>
        </w:numPr>
        <w:spacing w:after="60"/>
      </w:pPr>
      <w:r>
        <w:t xml:space="preserve">Session purement stateless (JWT longue durée sans backing serveur) — écarté : rendrait la révocation immédiate impossible, incompatible avec l'écran Sécurité du Back-Office (§6.22) qui exige de pouvoir révoquer un accès sur-le-champ.</w:t>
      </w:r>
    </w:p>
    <w:p>
      <w:pPr>
        <w:spacing w:after="200"/>
      </w:pPr>
    </w:p>
    <w:p>
      <w:r>
        <w:br w:type="page"/>
      </w:r>
    </w:p>
    <w:p>
      <w:pPr>
        <w:pStyle w:val="Heading1"/>
        <w:pBdr>
          <w:bottom w:val="single" w:color="C9A15B" w:sz="12" w:space="4"/>
        </w:pBdr>
        <w:spacing w:after="240" w:before="480"/>
      </w:pPr>
      <w:r>
        <w:rPr>
          <w:b/>
          <w:bCs/>
          <w:color w:val="16161A"/>
        </w:rPr>
        <w:t xml:space="preserve">3. Matrice des dépendances entre modules</w:t>
      </w:r>
    </w:p>
    <w:p>
      <w:pPr>
        <w:spacing w:after="160"/>
      </w:pPr>
      <w:r>
        <w:t xml:space="preserve">Cette matrice croise les modules fonctionnels de KORA+ (Cahier des charges §16.1, étendu aux modules transverses mobile) pour identifier les dépendances de données et d'événements — utile au séquencement du développement et à l'analyse d'impact d'un changement.</w:t>
      </w:r>
    </w:p>
    <w:p>
      <w:pPr>
        <w:spacing w:after="160"/>
      </w:pPr>
      <w:r>
        <w:t xml:space="preserve">● Dépendance de données directe (lecture ou écriture d'une entité de l'autre module)</w:t>
      </w:r>
    </w:p>
    <w:p>
      <w:pPr>
        <w:spacing w:after="160"/>
      </w:pPr>
      <w:r>
        <w:t xml:space="preserve">○ Dépendance d'événement / notification asynchrone (pas de lecture directe de données)</w:t>
      </w:r>
    </w:p>
    <w:p>
      <w:pPr>
        <w:spacing w:after="160"/>
      </w:pPr>
      <w:r>
        <w:t xml:space="preserve">Case vide : aucune dépendance directe</w:t>
      </w:r>
    </w:p>
    <w:p>
      <w:pPr>
        <w:spacing w:after="120"/>
      </w:pPr>
    </w:p>
    <w:tbl>
      <w:tblPr>
        <w:tblW w:type="dxa" w:w="9356"/>
        <w:tblBorders>
          <w:top w:val="single" w:color="C9A15B" w:sz="4"/>
          <w:left w:val="single" w:color="D9D3C4" w:sz="2"/>
          <w:bottom w:val="single" w:color="C9A15B" w:sz="4"/>
          <w:right w:val="single" w:color="D9D3C4" w:sz="2"/>
          <w:insideH w:val="single" w:color="D9D3C4" w:sz="2"/>
          <w:insideV w:val="single" w:color="D9D3C4" w:sz="2"/>
        </w:tblBorders>
      </w:tblPr>
      <w:tblGrid>
        <w:gridCol w:w="1260"/>
        <w:gridCol w:w="736"/>
        <w:gridCol w:w="736"/>
        <w:gridCol w:w="736"/>
        <w:gridCol w:w="736"/>
        <w:gridCol w:w="736"/>
        <w:gridCol w:w="736"/>
        <w:gridCol w:w="736"/>
        <w:gridCol w:w="736"/>
        <w:gridCol w:w="736"/>
        <w:gridCol w:w="736"/>
        <w:gridCol w:w="736"/>
      </w:tblGrid>
      <w:tr>
        <w:trPr>
          <w:tblHeader/>
        </w:trPr>
        <w:tc>
          <w:tcPr>
            <w:tcW w:type="dxa" w:w="1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Module ↓ dépend de →</w:t>
            </w:r>
          </w:p>
        </w:tc>
        <w:tc>
          <w:tcPr>
            <w:tcW w:type="dxa" w:w="736"/>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Identité</w:t>
            </w:r>
          </w:p>
        </w:tc>
        <w:tc>
          <w:tcPr>
            <w:tcW w:type="dxa" w:w="736"/>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Config. &amp; Bannières</w:t>
            </w:r>
          </w:p>
        </w:tc>
        <w:tc>
          <w:tcPr>
            <w:tcW w:type="dxa" w:w="736"/>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Catalogue</w:t>
            </w:r>
          </w:p>
        </w:tc>
        <w:tc>
          <w:tcPr>
            <w:tcW w:type="dxa" w:w="736"/>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Artistes</w:t>
            </w:r>
          </w:p>
        </w:tc>
        <w:tc>
          <w:tcPr>
            <w:tcW w:type="dxa" w:w="736"/>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Commerce</w:t>
            </w:r>
          </w:p>
        </w:tc>
        <w:tc>
          <w:tcPr>
            <w:tcW w:type="dxa" w:w="736"/>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Paiements</w:t>
            </w:r>
          </w:p>
        </w:tc>
        <w:tc>
          <w:tcPr>
            <w:tcW w:type="dxa" w:w="736"/>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Fidélité</w:t>
            </w:r>
          </w:p>
        </w:tc>
        <w:tc>
          <w:tcPr>
            <w:tcW w:type="dxa" w:w="736"/>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Finance artiste</w:t>
            </w:r>
          </w:p>
        </w:tc>
        <w:tc>
          <w:tcPr>
            <w:tcW w:type="dxa" w:w="736"/>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Sécurité</w:t>
            </w:r>
          </w:p>
        </w:tc>
        <w:tc>
          <w:tcPr>
            <w:tcW w:type="dxa" w:w="736"/>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Notifications</w:t>
            </w:r>
          </w:p>
        </w:tc>
        <w:tc>
          <w:tcPr>
            <w:tcW w:type="dxa" w:w="736"/>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Audit</w:t>
            </w:r>
          </w:p>
        </w:tc>
      </w:tr>
      <w:tr>
        <w:tc>
          <w:tcPr>
            <w:tcW w:type="dxa" w:w="1260"/>
            <w:tcMar>
              <w:top w:type="dxa" w:w="80"/>
              <w:left w:type="dxa" w:w="100"/>
              <w:bottom w:type="dxa" w:w="80"/>
              <w:right w:type="dxa" w:w="100"/>
            </w:tcMar>
            <w:vAlign w:val="center"/>
          </w:tcPr>
          <w:p>
            <w:pPr>
              <w:jc w:val="left"/>
            </w:pPr>
            <w:r>
              <w:rPr>
                <w:b w:val="false"/>
                <w:bCs w:val="false"/>
                <w:i w:val="false"/>
                <w:iCs w:val="false"/>
                <w:sz w:val="19"/>
                <w:szCs w:val="19"/>
              </w:rPr>
              <w:t xml:space="preserve">Identité</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r>
      <w:tr>
        <w:tc>
          <w:tcPr>
            <w:tcW w:type="dxa" w:w="1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Config. &amp; Bannières</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r>
      <w:tr>
        <w:tc>
          <w:tcPr>
            <w:tcW w:type="dxa" w:w="1260"/>
            <w:tcMar>
              <w:top w:type="dxa" w:w="80"/>
              <w:left w:type="dxa" w:w="100"/>
              <w:bottom w:type="dxa" w:w="80"/>
              <w:right w:type="dxa" w:w="100"/>
            </w:tcMar>
            <w:vAlign w:val="center"/>
          </w:tcPr>
          <w:p>
            <w:pPr>
              <w:jc w:val="left"/>
            </w:pPr>
            <w:r>
              <w:rPr>
                <w:b w:val="false"/>
                <w:bCs w:val="false"/>
                <w:i w:val="false"/>
                <w:iCs w:val="false"/>
                <w:sz w:val="19"/>
                <w:szCs w:val="19"/>
              </w:rPr>
              <w:t xml:space="preserve">Catalogue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r>
      <w:tr>
        <w:tc>
          <w:tcPr>
            <w:tcW w:type="dxa" w:w="1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Artistes</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r>
      <w:tr>
        <w:tc>
          <w:tcPr>
            <w:tcW w:type="dxa" w:w="1260"/>
            <w:tcMar>
              <w:top w:type="dxa" w:w="80"/>
              <w:left w:type="dxa" w:w="100"/>
              <w:bottom w:type="dxa" w:w="80"/>
              <w:right w:type="dxa" w:w="100"/>
            </w:tcMar>
            <w:vAlign w:val="center"/>
          </w:tcPr>
          <w:p>
            <w:pPr>
              <w:jc w:val="left"/>
            </w:pPr>
            <w:r>
              <w:rPr>
                <w:b w:val="false"/>
                <w:bCs w:val="false"/>
                <w:i w:val="false"/>
                <w:iCs w:val="false"/>
                <w:sz w:val="19"/>
                <w:szCs w:val="19"/>
              </w:rPr>
              <w:t xml:space="preserve">Commerce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r>
      <w:tr>
        <w:tc>
          <w:tcPr>
            <w:tcW w:type="dxa" w:w="1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Paiements</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r>
      <w:tr>
        <w:tc>
          <w:tcPr>
            <w:tcW w:type="dxa" w:w="1260"/>
            <w:tcMar>
              <w:top w:type="dxa" w:w="80"/>
              <w:left w:type="dxa" w:w="100"/>
              <w:bottom w:type="dxa" w:w="80"/>
              <w:right w:type="dxa" w:w="100"/>
            </w:tcMar>
            <w:vAlign w:val="center"/>
          </w:tcPr>
          <w:p>
            <w:pPr>
              <w:jc w:val="left"/>
            </w:pPr>
            <w:r>
              <w:rPr>
                <w:b w:val="false"/>
                <w:bCs w:val="false"/>
                <w:i w:val="false"/>
                <w:iCs w:val="false"/>
                <w:sz w:val="19"/>
                <w:szCs w:val="19"/>
              </w:rPr>
              <w:t xml:space="preserve">Fidélité</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r>
      <w:tr>
        <w:tc>
          <w:tcPr>
            <w:tcW w:type="dxa" w:w="1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Finance artiste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r>
      <w:tr>
        <w:tc>
          <w:tcPr>
            <w:tcW w:type="dxa" w:w="1260"/>
            <w:tcMar>
              <w:top w:type="dxa" w:w="80"/>
              <w:left w:type="dxa" w:w="100"/>
              <w:bottom w:type="dxa" w:w="80"/>
              <w:right w:type="dxa" w:w="100"/>
            </w:tcMar>
            <w:vAlign w:val="center"/>
          </w:tcPr>
          <w:p>
            <w:pPr>
              <w:jc w:val="left"/>
            </w:pPr>
            <w:r>
              <w:rPr>
                <w:b w:val="false"/>
                <w:bCs w:val="false"/>
                <w:i w:val="false"/>
                <w:iCs w:val="false"/>
                <w:sz w:val="19"/>
                <w:szCs w:val="19"/>
              </w:rPr>
              <w:t xml:space="preserve">Sécurité</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r>
      <w:tr>
        <w:tc>
          <w:tcPr>
            <w:tcW w:type="dxa" w:w="1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Notifications</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w:r>
          </w:p>
        </w:tc>
      </w:tr>
      <w:tr>
        <w:tc>
          <w:tcPr>
            <w:tcW w:type="dxa" w:w="1260"/>
            <w:tcMar>
              <w:top w:type="dxa" w:w="80"/>
              <w:left w:type="dxa" w:w="100"/>
              <w:bottom w:type="dxa" w:w="80"/>
              <w:right w:type="dxa" w:w="100"/>
            </w:tcMar>
            <w:vAlign w:val="center"/>
          </w:tcPr>
          <w:p>
            <w:pPr>
              <w:jc w:val="left"/>
            </w:pPr>
            <w:r>
              <w:rPr>
                <w:b w:val="false"/>
                <w:bCs w:val="false"/>
                <w:i w:val="false"/>
                <w:iCs w:val="false"/>
                <w:sz w:val="19"/>
                <w:szCs w:val="19"/>
              </w:rPr>
              <w:t xml:space="preserve">Audit</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
            </w:r>
          </w:p>
        </w:tc>
        <w:tc>
          <w:tcPr>
            <w:tcW w:type="dxa" w:w="736"/>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bl>
    <w:p>
      <w:pPr>
        <w:spacing w:after="160"/>
      </w:pPr>
    </w:p>
    <w:p>
      <w:pPr>
        <w:pStyle w:val="Heading2"/>
        <w:spacing w:after="180" w:before="360"/>
      </w:pPr>
      <w:r>
        <w:rPr>
          <w:b/>
          <w:bCs/>
          <w:color w:val="16161A"/>
        </w:rPr>
        <w:t xml:space="preserve">3.1 Ordre de construction recommandé</w:t>
      </w:r>
    </w:p>
    <w:p>
      <w:pPr>
        <w:pStyle w:val="ListParagraph"/>
        <w:numPr>
          <w:ilvl w:val="0"/>
          <w:numId w:val="1"/>
        </w:numPr>
        <w:spacing w:after="60"/>
      </w:pPr>
      <w:r>
        <w:t xml:space="preserve">Phase 1 — Fondations : Identité &amp; Sessions, Configuration &amp; Bannières (aucune dépendance entrante, tout le reste s'appuie dessus).</w:t>
      </w:r>
    </w:p>
    <w:p>
      <w:pPr>
        <w:pStyle w:val="ListParagraph"/>
        <w:numPr>
          <w:ilvl w:val="0"/>
          <w:numId w:val="1"/>
        </w:numPr>
        <w:spacing w:after="60"/>
      </w:pPr>
      <w:r>
        <w:t xml:space="preserve">Phase 2 — Contenu : Catalogue, Artistes (dépendent uniquement de la Phase 1).</w:t>
      </w:r>
    </w:p>
    <w:p>
      <w:pPr>
        <w:pStyle w:val="ListParagraph"/>
        <w:numPr>
          <w:ilvl w:val="0"/>
          <w:numId w:val="1"/>
        </w:numPr>
        <w:spacing w:after="60"/>
      </w:pPr>
      <w:r>
        <w:t xml:space="preserve">Phase 3 — Transaction : Commerce, puis Paiements (dépendent de la Phase 2).</w:t>
      </w:r>
    </w:p>
    <w:p>
      <w:pPr>
        <w:pStyle w:val="ListParagraph"/>
        <w:numPr>
          <w:ilvl w:val="0"/>
          <w:numId w:val="1"/>
        </w:numPr>
        <w:spacing w:after="60"/>
      </w:pPr>
      <w:r>
        <w:t xml:space="preserve">Phase 4 — Valorisation : Fidélité, Finance artiste (dépendent de la Phase 3).</w:t>
      </w:r>
    </w:p>
    <w:p>
      <w:pPr>
        <w:pStyle w:val="ListParagraph"/>
        <w:numPr>
          <w:ilvl w:val="0"/>
          <w:numId w:val="1"/>
        </w:numPr>
        <w:spacing w:after="60"/>
      </w:pPr>
      <w:r>
        <w:t xml:space="preserve">Phase 5 — Transverse : Sécurité peut démarrer dès la Phase 1 (Device/Session) mais ses alertes complètes nécessitent les événements des phases suivantes ; Audit doit être branché (AuditInterceptor) dès les premiers contrôleurs /admin/* mutables de la Phase 2, pas ajouté après coup.</w:t>
      </w:r>
    </w:p>
    <w:p>
      <w:pPr>
        <w:pStyle w:val="ListParagraph"/>
        <w:numPr>
          <w:ilvl w:val="0"/>
          <w:numId w:val="1"/>
        </w:numPr>
        <w:spacing w:after="60"/>
      </w:pPr>
      <w:r>
        <w:t xml:space="preserve">Phase 6 — Notifications : dépend du plus grand nombre de modules émetteurs d'événements, naturellement en fin de séquence.</w:t>
      </w:r>
    </w:p>
    <w:p>
      <w:r>
        <w:br w:type="page"/>
      </w:r>
    </w:p>
    <w:p>
      <w:pPr>
        <w:pStyle w:val="Heading1"/>
        <w:pBdr>
          <w:bottom w:val="single" w:color="C9A15B" w:sz="12" w:space="4"/>
        </w:pBdr>
        <w:spacing w:after="240" w:before="480"/>
      </w:pPr>
      <w:r>
        <w:rPr>
          <w:b/>
          <w:bCs/>
          <w:color w:val="16161A"/>
        </w:rPr>
        <w:t xml:space="preserve">4. Table des écarts — routes et endpoints</w:t>
      </w:r>
    </w:p>
    <w:p>
      <w:pPr>
        <w:spacing w:after="160"/>
      </w:pPr>
      <w:r>
        <w:t xml:space="preserve">Vérification croisée de chaque route citée dans les quatre documents : existence dans l'Engineering Specification, méthode HTTP, rôle, cohérence de nommage et de préfixe.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700"/>
        <w:gridCol w:w="2900"/>
        <w:gridCol w:w="23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Référence</w:t>
            </w:r>
          </w:p>
        </w:tc>
        <w:tc>
          <w:tcPr>
            <w:tcW w:type="dxa" w:w="17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Document source</w:t>
            </w:r>
          </w:p>
        </w:tc>
        <w:tc>
          <w:tcPr>
            <w:tcW w:type="dxa" w:w="29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Problème</w:t>
            </w:r>
          </w:p>
        </w:tc>
        <w:tc>
          <w:tcPr>
            <w:tcW w:type="dxa" w:w="23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Correction appliquée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GET /admin/dashboard/summary</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Back-Office V1.0</w:t>
            </w:r>
          </w:p>
        </w:tc>
        <w:tc>
          <w:tcPr>
            <w:tcW w:type="dxa" w:w="2900"/>
            <w:tcMar>
              <w:top w:type="dxa" w:w="80"/>
              <w:left w:type="dxa" w:w="100"/>
              <w:bottom w:type="dxa" w:w="80"/>
              <w:right w:type="dxa" w:w="100"/>
            </w:tcMar>
            <w:vAlign w:val="center"/>
          </w:tcPr>
          <w:p>
            <w:pPr>
              <w:jc w:val="left"/>
            </w:pPr>
            <w:r>
              <w:rPr>
                <w:b w:val="false"/>
                <w:bCs w:val="false"/>
                <w:i w:val="false"/>
                <w:iCs w:val="false"/>
                <w:sz w:val="19"/>
                <w:szCs w:val="19"/>
              </w:rPr>
              <w:t xml:space="preserve">Endpoint inventé par le BO, jamais dans l'Engineering, contredisait le chargement indépendant</w:t>
            </w:r>
          </w:p>
        </w:tc>
        <w:tc>
          <w:tcPr>
            <w:tcW w:type="dxa" w:w="2360"/>
            <w:tcMar>
              <w:top w:type="dxa" w:w="80"/>
              <w:left w:type="dxa" w:w="100"/>
              <w:bottom w:type="dxa" w:w="80"/>
              <w:right w:type="dxa" w:w="100"/>
            </w:tcMar>
            <w:vAlign w:val="center"/>
          </w:tcPr>
          <w:p>
            <w:pPr>
              <w:jc w:val="left"/>
            </w:pPr>
            <w:r>
              <w:rPr>
                <w:b w:val="false"/>
                <w:bCs w:val="false"/>
                <w:i w:val="false"/>
                <w:iCs w:val="false"/>
                <w:sz w:val="19"/>
                <w:szCs w:val="19"/>
              </w:rPr>
              <w:t xml:space="preserve">Remplacé par 6 endpoints indépendants (Addendum §3)</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/admin/audit-logs</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Back-Office V1.0</w:t>
            </w:r>
          </w:p>
        </w:tc>
        <w:tc>
          <w:tcPr>
            <w:tcW w:type="dxa" w:w="2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Utilisé sans contrat formel côté Engineering</w:t>
            </w:r>
          </w:p>
        </w:tc>
        <w:tc>
          <w:tcPr>
            <w:tcW w:type="dxa" w:w="23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Contrat complet ajouté (Addendum §4)</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GET /admin/users/:id, /orders, /sessions</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Back-Office V1.0 §6.8</w:t>
            </w:r>
          </w:p>
        </w:tc>
        <w:tc>
          <w:tcPr>
            <w:tcW w:type="dxa" w:w="2900"/>
            <w:tcMar>
              <w:top w:type="dxa" w:w="80"/>
              <w:left w:type="dxa" w:w="100"/>
              <w:bottom w:type="dxa" w:w="80"/>
              <w:right w:type="dxa" w:w="100"/>
            </w:tcMar>
            <w:vAlign w:val="center"/>
          </w:tcPr>
          <w:p>
            <w:pPr>
              <w:jc w:val="left"/>
            </w:pPr>
            <w:r>
              <w:rPr>
                <w:b w:val="false"/>
                <w:bCs w:val="false"/>
                <w:i w:val="false"/>
                <w:iCs w:val="false"/>
                <w:sz w:val="19"/>
                <w:szCs w:val="19"/>
              </w:rPr>
              <w:t xml:space="preserve">Non définis en Engineering V1</w:t>
            </w:r>
          </w:p>
        </w:tc>
        <w:tc>
          <w:tcPr>
            <w:tcW w:type="dxa" w:w="2360"/>
            <w:tcMar>
              <w:top w:type="dxa" w:w="80"/>
              <w:left w:type="dxa" w:w="100"/>
              <w:bottom w:type="dxa" w:w="80"/>
              <w:right w:type="dxa" w:w="100"/>
            </w:tcMar>
            <w:vAlign w:val="center"/>
          </w:tcPr>
          <w:p>
            <w:pPr>
              <w:jc w:val="left"/>
            </w:pPr>
            <w:r>
              <w:rPr>
                <w:b w:val="false"/>
                <w:bCs w:val="false"/>
                <w:i w:val="false"/>
                <w:iCs w:val="false"/>
                <w:sz w:val="19"/>
                <w:szCs w:val="19"/>
              </w:rPr>
              <w:t xml:space="preserve">Formalisés (Addendum §5)</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/admin/artists/:id, /content, /payouts</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Back-Office V1.0 §6.11</w:t>
            </w:r>
          </w:p>
        </w:tc>
        <w:tc>
          <w:tcPr>
            <w:tcW w:type="dxa" w:w="2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définis en Engineering V1</w:t>
            </w:r>
          </w:p>
        </w:tc>
        <w:tc>
          <w:tcPr>
            <w:tcW w:type="dxa" w:w="23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Formalisés (Addendum §5)</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GET /admin/orders, /:id, /:id/receipt</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Back-Office V1.0 §6.14–6.15</w:t>
            </w:r>
          </w:p>
        </w:tc>
        <w:tc>
          <w:tcPr>
            <w:tcW w:type="dxa" w:w="2900"/>
            <w:tcMar>
              <w:top w:type="dxa" w:w="80"/>
              <w:left w:type="dxa" w:w="100"/>
              <w:bottom w:type="dxa" w:w="80"/>
              <w:right w:type="dxa" w:w="100"/>
            </w:tcMar>
            <w:vAlign w:val="center"/>
          </w:tcPr>
          <w:p>
            <w:pPr>
              <w:jc w:val="left"/>
            </w:pPr>
            <w:r>
              <w:rPr>
                <w:b w:val="false"/>
                <w:bCs w:val="false"/>
                <w:i w:val="false"/>
                <w:iCs w:val="false"/>
                <w:sz w:val="19"/>
                <w:szCs w:val="19"/>
              </w:rPr>
              <w:t xml:space="preserve">Domaine Commerce (§5.3 Engineering) n'avait qu'une vue mobile, pas de vue admin</w:t>
            </w:r>
          </w:p>
        </w:tc>
        <w:tc>
          <w:tcPr>
            <w:tcW w:type="dxa" w:w="2360"/>
            <w:tcMar>
              <w:top w:type="dxa" w:w="80"/>
              <w:left w:type="dxa" w:w="100"/>
              <w:bottom w:type="dxa" w:w="80"/>
              <w:right w:type="dxa" w:w="100"/>
            </w:tcMar>
            <w:vAlign w:val="center"/>
          </w:tcPr>
          <w:p>
            <w:pPr>
              <w:jc w:val="left"/>
            </w:pPr>
            <w:r>
              <w:rPr>
                <w:b w:val="false"/>
                <w:bCs w:val="false"/>
                <w:i w:val="false"/>
                <w:iCs w:val="false"/>
                <w:sz w:val="19"/>
                <w:szCs w:val="19"/>
              </w:rPr>
              <w:t xml:space="preserve">Formalisés (Addendum §5)</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/admin/payments/:id, POST retry/refund</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Back-Office V1.0 §6.17</w:t>
            </w:r>
          </w:p>
        </w:tc>
        <w:tc>
          <w:tcPr>
            <w:tcW w:type="dxa" w:w="2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Seule la liste GET /admin/payments existait (§5.10.7 Engineering)</w:t>
            </w:r>
          </w:p>
        </w:tc>
        <w:tc>
          <w:tcPr>
            <w:tcW w:type="dxa" w:w="23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Formalisés (Addendum §5)</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GET /admin/payouts (liste)</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Back-Office V1.0 §6.19</w:t>
            </w:r>
          </w:p>
        </w:tc>
        <w:tc>
          <w:tcPr>
            <w:tcW w:type="dxa" w:w="2900"/>
            <w:tcMar>
              <w:top w:type="dxa" w:w="80"/>
              <w:left w:type="dxa" w:w="100"/>
              <w:bottom w:type="dxa" w:w="80"/>
              <w:right w:type="dxa" w:w="100"/>
            </w:tcMar>
            <w:vAlign w:val="center"/>
          </w:tcPr>
          <w:p>
            <w:pPr>
              <w:jc w:val="left"/>
            </w:pPr>
            <w:r>
              <w:rPr>
                <w:b w:val="false"/>
                <w:bCs w:val="false"/>
                <w:i w:val="false"/>
                <w:iCs w:val="false"/>
                <w:sz w:val="19"/>
                <w:szCs w:val="19"/>
              </w:rPr>
              <w:t xml:space="preserve">Seul PATCH /admin/payouts/:id/status existait (§5.10.8 Engineering)</w:t>
            </w:r>
          </w:p>
        </w:tc>
        <w:tc>
          <w:tcPr>
            <w:tcW w:type="dxa" w:w="2360"/>
            <w:tcMar>
              <w:top w:type="dxa" w:w="80"/>
              <w:left w:type="dxa" w:w="100"/>
              <w:bottom w:type="dxa" w:w="80"/>
              <w:right w:type="dxa" w:w="100"/>
            </w:tcMar>
            <w:vAlign w:val="center"/>
          </w:tcPr>
          <w:p>
            <w:pPr>
              <w:jc w:val="left"/>
            </w:pPr>
            <w:r>
              <w:rPr>
                <w:b w:val="false"/>
                <w:bCs w:val="false"/>
                <w:i w:val="false"/>
                <w:iCs w:val="false"/>
                <w:sz w:val="19"/>
                <w:szCs w:val="19"/>
              </w:rPr>
              <w:t xml:space="preserve">Ajouté (Addendum §5)</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GET/POST /admin/notifications</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Back-Office V1.0 §6.23–6.24</w:t>
            </w:r>
          </w:p>
        </w:tc>
        <w:tc>
          <w:tcPr>
            <w:tcW w:type="dxa" w:w="2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Domaine transverse §5.11 Engineering ne couvrait que la vue utilisateur mobile</w:t>
            </w:r>
          </w:p>
        </w:tc>
        <w:tc>
          <w:tcPr>
            <w:tcW w:type="dxa" w:w="23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Formalisés (Addendum §5)</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POST/PATCH /admin/categories</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Back-Office V1.0 §6.25</w:t>
            </w:r>
          </w:p>
        </w:tc>
        <w:tc>
          <w:tcPr>
            <w:tcW w:type="dxa" w:w="2900"/>
            <w:tcMar>
              <w:top w:type="dxa" w:w="80"/>
              <w:left w:type="dxa" w:w="100"/>
              <w:bottom w:type="dxa" w:w="80"/>
              <w:right w:type="dxa" w:w="100"/>
            </w:tcMar>
            <w:vAlign w:val="center"/>
          </w:tcPr>
          <w:p>
            <w:pPr>
              <w:jc w:val="left"/>
            </w:pPr>
            <w:r>
              <w:rPr>
                <w:b w:val="false"/>
                <w:bCs w:val="false"/>
                <w:i w:val="false"/>
                <w:iCs w:val="false"/>
                <w:sz w:val="19"/>
                <w:szCs w:val="19"/>
              </w:rPr>
              <w:t xml:space="preserve">Seule la lecture publique GET /categories existait (§5.11.1 Engineering)</w:t>
            </w:r>
          </w:p>
        </w:tc>
        <w:tc>
          <w:tcPr>
            <w:tcW w:type="dxa" w:w="2360"/>
            <w:tcMar>
              <w:top w:type="dxa" w:w="80"/>
              <w:left w:type="dxa" w:w="100"/>
              <w:bottom w:type="dxa" w:w="80"/>
              <w:right w:type="dxa" w:w="100"/>
            </w:tcMar>
            <w:vAlign w:val="center"/>
          </w:tcPr>
          <w:p>
            <w:pPr>
              <w:jc w:val="left"/>
            </w:pPr>
            <w:r>
              <w:rPr>
                <w:b w:val="false"/>
                <w:bCs w:val="false"/>
                <w:i w:val="false"/>
                <w:iCs w:val="false"/>
                <w:sz w:val="19"/>
                <w:szCs w:val="19"/>
              </w:rPr>
              <w:t xml:space="preserve">CRUD admin ajouté (Addendum §5)</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GET/POST/PATCH /admin/banners</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Back-Office V1.0 §6.25</w:t>
            </w:r>
          </w:p>
        </w:tc>
        <w:tc>
          <w:tcPr>
            <w:tcW w:type="dxa" w:w="2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Aucun modèle ni endpoint n'existait (cf. ADR-006)</w:t>
            </w:r>
          </w:p>
        </w:tc>
        <w:tc>
          <w:tcPr>
            <w:tcW w:type="dxa" w:w="23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Modèle Banner + endpoints ajoutés (Addendum §2.5, §5)</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GET/PATCH /admin/config</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Back-Office V1.0 §6.26</w:t>
            </w:r>
          </w:p>
        </w:tc>
        <w:tc>
          <w:tcPr>
            <w:tcW w:type="dxa" w:w="2900"/>
            <w:tcMar>
              <w:top w:type="dxa" w:w="80"/>
              <w:left w:type="dxa" w:w="100"/>
              <w:bottom w:type="dxa" w:w="80"/>
              <w:right w:type="dxa" w:w="100"/>
            </w:tcMar>
            <w:vAlign w:val="center"/>
          </w:tcPr>
          <w:p>
            <w:pPr>
              <w:jc w:val="left"/>
            </w:pPr>
            <w:r>
              <w:rPr>
                <w:b w:val="false"/>
                <w:bCs w:val="false"/>
                <w:i w:val="false"/>
                <w:iCs w:val="false"/>
                <w:sz w:val="19"/>
                <w:szCs w:val="19"/>
              </w:rPr>
              <w:t xml:space="preserve">Aucun modèle ni endpoint n'existait (cf. ADR-006)</w:t>
            </w:r>
          </w:p>
        </w:tc>
        <w:tc>
          <w:tcPr>
            <w:tcW w:type="dxa" w:w="2360"/>
            <w:tcMar>
              <w:top w:type="dxa" w:w="80"/>
              <w:left w:type="dxa" w:w="100"/>
              <w:bottom w:type="dxa" w:w="80"/>
              <w:right w:type="dxa" w:w="100"/>
            </w:tcMar>
            <w:vAlign w:val="center"/>
          </w:tcPr>
          <w:p>
            <w:pPr>
              <w:jc w:val="left"/>
            </w:pPr>
            <w:r>
              <w:rPr>
                <w:b w:val="false"/>
                <w:bCs w:val="false"/>
                <w:i w:val="false"/>
                <w:iCs w:val="false"/>
                <w:sz w:val="19"/>
                <w:szCs w:val="19"/>
              </w:rPr>
              <w:t xml:space="preserve">Modèle PlatformConfig + endpoints ajoutés (Addendum §2.6, §5)</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POST /admin/auth/2fa/setup, /confirm, /verify, /recovery-code, /recovery-codes/regenerate</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Back-Office V1.0 (implicite, mécanisme e-mail)</w:t>
            </w:r>
          </w:p>
        </w:tc>
        <w:tc>
          <w:tcPr>
            <w:tcW w:type="dxa" w:w="2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Mécanisme non conforme (e-mail) et endpoints jamais formalisés</w:t>
            </w:r>
          </w:p>
        </w:tc>
        <w:tc>
          <w:tcPr>
            <w:tcW w:type="dxa" w:w="23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TOTP formalisé intégralement (Addendum §1)</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POST /admin/auth/login, /password/reset-request</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Back-Office V1.0 §6.1/§6.4</w:t>
            </w:r>
          </w:p>
        </w:tc>
        <w:tc>
          <w:tcPr>
            <w:tcW w:type="dxa" w:w="2900"/>
            <w:tcMar>
              <w:top w:type="dxa" w:w="80"/>
              <w:left w:type="dxa" w:w="100"/>
              <w:bottom w:type="dxa" w:w="80"/>
              <w:right w:type="dxa" w:w="100"/>
            </w:tcMar>
            <w:vAlign w:val="center"/>
          </w:tcPr>
          <w:p>
            <w:pPr>
              <w:jc w:val="left"/>
            </w:pPr>
            <w:r>
              <w:rPr>
                <w:b w:val="false"/>
                <w:bCs w:val="false"/>
                <w:i w:val="false"/>
                <w:iCs w:val="false"/>
                <w:sz w:val="19"/>
                <w:szCs w:val="19"/>
              </w:rPr>
              <w:t xml:space="preserve">Utilisés sans contrat formel côté Engineering</w:t>
            </w:r>
          </w:p>
        </w:tc>
        <w:tc>
          <w:tcPr>
            <w:tcW w:type="dxa" w:w="2360"/>
            <w:tcMar>
              <w:top w:type="dxa" w:w="80"/>
              <w:left w:type="dxa" w:w="100"/>
              <w:bottom w:type="dxa" w:w="80"/>
              <w:right w:type="dxa" w:w="100"/>
            </w:tcMar>
            <w:vAlign w:val="center"/>
          </w:tcPr>
          <w:p>
            <w:pPr>
              <w:jc w:val="left"/>
            </w:pPr>
            <w:r>
              <w:rPr>
                <w:b w:val="false"/>
                <w:bCs w:val="false"/>
                <w:i w:val="false"/>
                <w:iCs w:val="false"/>
                <w:sz w:val="19"/>
                <w:szCs w:val="19"/>
              </w:rPr>
              <w:t xml:space="preserve">Formalisés (Addendum §1.3.1, §1.3.7)</w:t>
            </w:r>
          </w:p>
        </w:tc>
      </w:tr>
    </w:tbl>
    <w:p>
      <w:pPr>
        <w:spacing w:after="160"/>
      </w:pP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Cohérence de nommage confirmée</w:t>
            </w:r>
          </w:p>
          <w:p>
            <w:r>
              <w:t xml:space="preserve">Aucun endpoint n'a été trouvé sous deux noms différents entre documents. Le préfixe /api/v1/ est strictement respecté partout. Toutes les routes UI du Back-Office (Next.js App Router) correspondent à une route API existante après application des corrections ci-dessus — aucun écran ne dépend plus d'un endpoint inexistant.</w:t>
            </w:r>
          </w:p>
        </w:tc>
      </w:tr>
    </w:tbl>
    <w:p>
      <w:r>
        <w:br w:type="page"/>
      </w:r>
    </w:p>
    <w:p>
      <w:pPr>
        <w:pStyle w:val="Heading1"/>
        <w:pBdr>
          <w:bottom w:val="single" w:color="C9A15B" w:sz="12" w:space="4"/>
        </w:pBdr>
        <w:spacing w:after="240" w:before="480"/>
      </w:pPr>
      <w:r>
        <w:rPr>
          <w:b/>
          <w:bCs/>
          <w:color w:val="16161A"/>
        </w:rPr>
        <w:t xml:space="preserve">5. Domaines vérifiés sans écart supplémentaire</w:t>
      </w:r>
    </w:p>
    <w:p>
      <w:pPr>
        <w:spacing w:after="160"/>
      </w:pPr>
      <w:r>
        <w:t xml:space="preserve">Au-delà des corrections ci-dessus, les domaines suivants ont été vérifiés par recoupement direct entre documents et ne présentent aucune contradiction.</w:t>
      </w:r>
    </w:p>
    <w:p>
      <w:pPr>
        <w:pStyle w:val="ListParagraph"/>
        <w:numPr>
          <w:ilvl w:val="0"/>
          <w:numId w:val="1"/>
        </w:numPr>
        <w:spacing w:after="60"/>
      </w:pPr>
      <w:r>
        <w:t xml:space="preserve">Rôles et permissions : les 4 rôles (super_admin, content_editor, finance_manager, support) sont strictement identiques et cohérents entre le Cahier des charges §16.2, l'Engineering §9.4, et les 27+2 écrans du Back-Office.</w:t>
      </w:r>
    </w:p>
    <w:p>
      <w:pPr>
        <w:pStyle w:val="ListParagraph"/>
        <w:numPr>
          <w:ilvl w:val="0"/>
          <w:numId w:val="1"/>
        </w:numPr>
        <w:spacing w:after="60"/>
      </w:pPr>
      <w:r>
        <w:t xml:space="preserve">Paiements, commandes, retraits : idempotence, webhooks, machine à états des retraits, interdiction de modification d'une transaction clôturée, interdiction de remboursement sans motif, interdiction de mise à jour optimiste financière — tous cohérents et non contradictoires entre l'Engineering (§5.3–5.4, §5.10.7–5.10.8) et le Back-Office (§9 Règles financières).</w:t>
      </w:r>
    </w:p>
    <w:p>
      <w:pPr>
        <w:pStyle w:val="ListParagraph"/>
        <w:numPr>
          <w:ilvl w:val="0"/>
          <w:numId w:val="1"/>
        </w:numPr>
        <w:spacing w:after="60"/>
      </w:pPr>
      <w:r>
        <w:t xml:space="preserve">Écrans mobiles et Engineering : les 26 écrans de la UI/UX Design Specification correspondent nom pour nom aux classes Screen/Sheet définies en Engineering §6 (ex. ContentDetailScreen, DiscoverScreen, PurchasesScreen) — aucune divergence de nommage trouvée.</w:t>
      </w:r>
    </w:p>
    <w:p>
      <w:pPr>
        <w:pStyle w:val="ListParagraph"/>
        <w:numPr>
          <w:ilvl w:val="0"/>
          <w:numId w:val="1"/>
        </w:numPr>
        <w:spacing w:after="60"/>
      </w:pPr>
      <w:r>
        <w:t xml:space="preserve">Écrans back-office et Engineering : les 29 écrans (après corrections) correspondent chacun à une route Next.js et à au moins un endpoint désormais formalisé ; les composants AdminLTE cités en §3 du Back-Office sont utilisés de façon cohérente (aucun composant mentionné dans la matrice n'est absent des écrans qui le citent).</w:t>
      </w:r>
    </w:p>
    <w:p>
      <w:pPr>
        <w:pStyle w:val="ListParagraph"/>
        <w:numPr>
          <w:ilvl w:val="0"/>
          <w:numId w:val="1"/>
        </w:numPr>
        <w:spacing w:after="60"/>
      </w:pPr>
      <w:r>
        <w:t xml:space="preserve">Terminologie transverse : utilisateur/client, contenu/Content, commande/Order, paiement/Payment, droit/Entitlement, artiste/ArtistProfile, retrait/Payout, administrateur/AdminUser — un seul terme officiel par concept déjà en usage cohérent dans les quatre documents, à l'exception ponctuelle de REG-10.</w:t>
      </w:r>
    </w:p>
    <w:p>
      <w:pPr>
        <w:spacing w:after="200"/>
      </w:pP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Conclusion</w:t>
            </w:r>
          </w:p>
          <w:p>
            <w:r>
              <w:t xml:space="preserve">Après application des corrections listées dans ce registre (Back-Office V1.1 et Engineering Specification Addendum V1.1), les quatre documents officiels de KORA+ forment un ensemble cohérent, sans contradiction silencieuse identifiée, techniquement exécutable et traçable — prêt pour le développement contrôlé par Codex.</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68C"/>
        <w:sz w:val="16"/>
        <w:szCs w:val="16"/>
      </w:rPr>
      <w:fldChar w:fldCharType="begin"/>
      <w:instrText xml:space="preserve">PAGE</w:instrText>
      <w:fldChar w:fldCharType="separate"/>
      <w:fldChar w:fldCharType="end"/>
    </w:r>
    <w:r>
      <w:rPr>
        <w:color w:val="9A968C"/>
        <w:sz w:val="16"/>
        <w:szCs w:val="16"/>
      </w:rPr>
      <w:t xml:space="preserve"> / </w:t>
    </w:r>
    <w:r>
      <w:rPr>
        <w:color w:val="9A96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968C"/>
        <w:sz w:val="16"/>
        <w:szCs w:val="16"/>
      </w:rPr>
      <w:t xml:space="preserve">KORA+ — Specification Alignment Register &amp; ADR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 Specification Alignment Register &amp; ADR</dc:title>
  <dc:creator>KORA+ Documentation Consistency Lead</dc:creator>
  <cp:lastModifiedBy>Un-named</cp:lastModifiedBy>
  <cp:revision>1</cp:revision>
  <dcterms:created xsi:type="dcterms:W3CDTF">2026-07-23T12:49:17.690Z</dcterms:created>
  <dcterms:modified xsi:type="dcterms:W3CDTF">2026-07-23T12:49:17.690Z</dcterms:modified>
</cp:coreProperties>
</file>

<file path=docProps/custom.xml><?xml version="1.0" encoding="utf-8"?>
<Properties xmlns="http://schemas.openxmlformats.org/officeDocument/2006/custom-properties" xmlns:vt="http://schemas.openxmlformats.org/officeDocument/2006/docPropsVTypes"/>
</file>