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B08D4F"/>
          <w:sz w:val="20"/>
        </w:rPr>
        <w:t>KORA+ AI PROGRAM OFFICE</w:t>
      </w:r>
    </w:p>
    <w:p>
      <w:pPr>
        <w:keepNext/>
        <w:spacing w:after="80"/>
      </w:pPr>
      <w:r>
        <w:rPr>
          <w:rFonts w:ascii="Calibri" w:hAnsi="Calibri"/>
          <w:b/>
          <w:color w:val="1C2430"/>
          <w:sz w:val="50"/>
        </w:rPr>
        <w:t>CONTRADICTION RESOLUTION</w:t>
      </w:r>
    </w:p>
    <w:p>
      <w:pPr>
        <w:spacing w:after="300"/>
      </w:pPr>
      <w:r>
        <w:rPr>
          <w:rFonts w:ascii="Calibri" w:hAnsi="Calibri"/>
          <w:color w:val="6B7280"/>
          <w:sz w:val="26"/>
        </w:rPr>
        <w:t>Decision memo, accepted ADR baseline and authorization for Sprint 0B</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bottom w:w="80" w:type="dxa"/>
              <w:start w:w="120" w:type="dxa"/>
              <w:end w:w="120" w:type="dxa"/>
            </w:tcMar>
            <w:vAlign w:val="center"/>
            <w:shd w:fill="F2F4F7"/>
          </w:tcPr>
          <w:p>
            <w:pPr>
              <w:spacing w:after="40"/>
            </w:pPr>
            <w:r>
              <w:rPr>
                <w:rFonts w:ascii="Calibri" w:hAnsi="Calibri"/>
                <w:b/>
                <w:sz w:val="19"/>
              </w:rPr>
              <w:t>Product Owner</w:t>
            </w:r>
          </w:p>
        </w:tc>
        <w:tc>
          <w:tcPr>
            <w:tcW w:type="dxa" w:w="7460"/>
            <w:tcMar>
              <w:top w:w="80" w:type="dxa"/>
              <w:bottom w:w="80" w:type="dxa"/>
              <w:start w:w="120" w:type="dxa"/>
              <w:end w:w="120" w:type="dxa"/>
            </w:tcMar>
            <w:vAlign w:val="center"/>
          </w:tcPr>
          <w:p>
            <w:pPr>
              <w:spacing w:after="40"/>
            </w:pPr>
            <w:r>
              <w:rPr>
                <w:rFonts w:ascii="Calibri" w:hAnsi="Calibri"/>
                <w:sz w:val="19"/>
              </w:rPr>
              <w:t>Mohamed Sogoba</w:t>
            </w:r>
          </w:p>
        </w:tc>
      </w:tr>
      <w:tr>
        <w:trPr>
          <w:cantSplit/>
        </w:trPr>
        <w:tc>
          <w:tcPr>
            <w:tcW w:type="dxa" w:w="1900"/>
            <w:tcMar>
              <w:top w:w="80" w:type="dxa"/>
              <w:bottom w:w="80" w:type="dxa"/>
              <w:start w:w="120" w:type="dxa"/>
              <w:end w:w="120" w:type="dxa"/>
            </w:tcMar>
            <w:vAlign w:val="center"/>
            <w:shd w:fill="F2F4F7"/>
          </w:tcPr>
          <w:p>
            <w:pPr>
              <w:spacing w:after="40"/>
            </w:pPr>
            <w:r>
              <w:rPr>
                <w:rFonts w:ascii="Calibri" w:hAnsi="Calibri"/>
                <w:b/>
                <w:sz w:val="19"/>
              </w:rPr>
              <w:t>Decision date</w:t>
            </w:r>
          </w:p>
        </w:tc>
        <w:tc>
          <w:tcPr>
            <w:tcW w:type="dxa" w:w="7460"/>
            <w:tcMar>
              <w:top w:w="80" w:type="dxa"/>
              <w:bottom w:w="80" w:type="dxa"/>
              <w:start w:w="120" w:type="dxa"/>
              <w:end w:w="120" w:type="dxa"/>
            </w:tcMar>
            <w:vAlign w:val="center"/>
          </w:tcPr>
          <w:p>
            <w:pPr>
              <w:spacing w:after="40"/>
            </w:pPr>
            <w:r>
              <w:rPr>
                <w:rFonts w:ascii="Calibri" w:hAnsi="Calibri"/>
                <w:sz w:val="19"/>
              </w:rPr>
              <w:t>25 July 2026</w:t>
            </w:r>
          </w:p>
        </w:tc>
      </w:tr>
      <w:tr>
        <w:trPr>
          <w:cantSplit/>
        </w:trPr>
        <w:tc>
          <w:tcPr>
            <w:tcW w:type="dxa" w:w="1900"/>
            <w:tcMar>
              <w:top w:w="80" w:type="dxa"/>
              <w:bottom w:w="80" w:type="dxa"/>
              <w:start w:w="120" w:type="dxa"/>
              <w:end w:w="120" w:type="dxa"/>
            </w:tcMar>
            <w:vAlign w:val="center"/>
            <w:shd w:fill="F2F4F7"/>
          </w:tcPr>
          <w:p>
            <w:pPr>
              <w:spacing w:after="40"/>
            </w:pPr>
            <w:r>
              <w:rPr>
                <w:rFonts w:ascii="Calibri" w:hAnsi="Calibri"/>
                <w:b/>
                <w:sz w:val="19"/>
              </w:rPr>
              <w:t>Baseline</w:t>
            </w:r>
          </w:p>
        </w:tc>
        <w:tc>
          <w:tcPr>
            <w:tcW w:type="dxa" w:w="7460"/>
            <w:tcMar>
              <w:top w:w="80" w:type="dxa"/>
              <w:bottom w:w="80" w:type="dxa"/>
              <w:start w:w="120" w:type="dxa"/>
              <w:end w:w="120" w:type="dxa"/>
            </w:tcMar>
            <w:vAlign w:val="center"/>
          </w:tcPr>
          <w:p>
            <w:pPr>
              <w:spacing w:after="40"/>
            </w:pPr>
            <w:r>
              <w:rPr>
                <w:rFonts w:ascii="Calibri" w:hAnsi="Calibri"/>
                <w:sz w:val="19"/>
              </w:rPr>
              <w:t>Cahier des charges V4 + Resolution Pack V2</w:t>
            </w:r>
          </w:p>
        </w:tc>
      </w:tr>
      <w:tr>
        <w:trPr>
          <w:cantSplit/>
        </w:trPr>
        <w:tc>
          <w:tcPr>
            <w:tcW w:type="dxa" w:w="1900"/>
            <w:tcMar>
              <w:top w:w="80" w:type="dxa"/>
              <w:bottom w:w="80" w:type="dxa"/>
              <w:start w:w="120" w:type="dxa"/>
              <w:end w:w="120" w:type="dxa"/>
            </w:tcMar>
            <w:vAlign w:val="center"/>
            <w:shd w:fill="F2F4F7"/>
          </w:tcPr>
          <w:p>
            <w:pPr>
              <w:spacing w:after="40"/>
            </w:pPr>
            <w:r>
              <w:rPr>
                <w:rFonts w:ascii="Calibri" w:hAnsi="Calibri"/>
                <w:b/>
                <w:sz w:val="19"/>
              </w:rPr>
              <w:t>Status</w:t>
            </w:r>
          </w:p>
        </w:tc>
        <w:tc>
          <w:tcPr>
            <w:tcW w:type="dxa" w:w="7460"/>
            <w:tcMar>
              <w:top w:w="80" w:type="dxa"/>
              <w:bottom w:w="80" w:type="dxa"/>
              <w:start w:w="120" w:type="dxa"/>
              <w:end w:w="120" w:type="dxa"/>
            </w:tcMar>
            <w:vAlign w:val="center"/>
          </w:tcPr>
          <w:p>
            <w:pPr>
              <w:spacing w:after="40"/>
            </w:pPr>
            <w:r>
              <w:rPr>
                <w:rFonts w:ascii="Calibri" w:hAnsi="Calibri"/>
                <w:sz w:val="19"/>
              </w:rPr>
              <w:t>Approved for Sprint 0B integration</w:t>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8F4EA"/>
          </w:tcPr>
          <w:p>
            <w:pPr>
              <w:pStyle w:val="KORACallout"/>
            </w:pPr>
            <w:r>
              <w:t>DECISION: GO for Sprint 0B. The transactional vertical slice remains gated.</w:t>
            </w:r>
          </w:p>
        </w:tc>
      </w:tr>
    </w:tbl>
    <w:p/>
    <w:p>
      <w:pPr>
        <w:pStyle w:val="Heading1"/>
      </w:pPr>
      <w:r>
        <w:t>1. Executive decision</w:t>
      </w:r>
    </w:p>
    <w:p>
      <w:r>
        <w:rPr>
          <w:b/>
        </w:rPr>
        <w:t>GO for Sprint 0B - Architecture Alignment and Foundation Repair.</w:t>
      </w:r>
    </w:p>
    <w:p>
      <w:r>
        <w:t>The contradictions identified in the Executive Readiness Report are now converted into accepted decisions. Mohamed no longer needs to arbitrate the technical points. The next Codex run can integrate the governance pack, align the target contracts and repair the current Flutter foundation.</w:t>
      </w:r>
    </w:p>
    <w:p>
      <w:r>
        <w:t>The audio purchase vertical slice is not yet authorized. It starts only after Sprint 0B and Sprint 0C pass their exit gates.</w:t>
      </w:r>
    </w:p>
    <w:p>
      <w:pPr>
        <w:pStyle w:val="Heading1"/>
      </w:pPr>
      <w:r>
        <w:t>2. Decisions that remove the main contradictions</w:t>
      </w:r>
    </w:p>
    <w:tbl>
      <w:tblPr>
        <w:tblStyle w:val="TableGrid"/>
        <w:tblW w:type="dxa" w:w="9360"/>
        <w:jc w:val="left"/>
        <w:tblLayout w:type="fixed"/>
        <w:tblLook w:firstColumn="1" w:firstRow="1" w:lastColumn="0" w:lastRow="0" w:noHBand="0" w:noVBand="1" w:val="04A0"/>
        <w:tblInd w:w="120" w:type="dxa"/>
      </w:tblPr>
      <w:tblGrid>
        <w:gridCol w:w="1556"/>
        <w:gridCol w:w="4089"/>
        <w:gridCol w:w="3715"/>
      </w:tblGrid>
      <w:tr>
        <w:trPr>
          <w:cantSplit/>
          <w:tblHeader w:val="true"/>
        </w:trPr>
        <w:tc>
          <w:tcPr>
            <w:tcW w:type="dxa" w:w="1556"/>
            <w:tcMar>
              <w:top w:w="80" w:type="dxa"/>
              <w:bottom w:w="80" w:type="dxa"/>
              <w:start w:w="120" w:type="dxa"/>
              <w:end w:w="120" w:type="dxa"/>
            </w:tcMar>
            <w:vAlign w:val="center"/>
            <w:shd w:fill="F2F4F7"/>
          </w:tcPr>
          <w:p>
            <w:pPr>
              <w:spacing w:before="0" w:after="40" w:line="252" w:lineRule="auto"/>
            </w:pPr>
            <w:r>
              <w:rPr>
                <w:b/>
                <w:color w:val="1C2430"/>
              </w:rPr>
            </w:r>
            <w:r>
              <w:rPr>
                <w:b/>
                <w:color w:val="1C2430"/>
                <w:sz w:val="17"/>
              </w:rPr>
              <w:t>Area</w:t>
            </w:r>
          </w:p>
        </w:tc>
        <w:tc>
          <w:tcPr>
            <w:tcW w:type="dxa" w:w="4089"/>
            <w:tcMar>
              <w:top w:w="80" w:type="dxa"/>
              <w:bottom w:w="80" w:type="dxa"/>
              <w:start w:w="120" w:type="dxa"/>
              <w:end w:w="120" w:type="dxa"/>
            </w:tcMar>
            <w:vAlign w:val="center"/>
            <w:shd w:fill="F2F4F7"/>
          </w:tcPr>
          <w:p>
            <w:pPr>
              <w:spacing w:before="0" w:after="40" w:line="252" w:lineRule="auto"/>
            </w:pPr>
            <w:r>
              <w:rPr>
                <w:b/>
                <w:color w:val="1C2430"/>
              </w:rPr>
            </w:r>
            <w:r>
              <w:rPr>
                <w:b/>
                <w:color w:val="1C2430"/>
                <w:sz w:val="17"/>
              </w:rPr>
              <w:t>Final decision</w:t>
            </w:r>
          </w:p>
        </w:tc>
        <w:tc>
          <w:tcPr>
            <w:tcW w:type="dxa" w:w="3715"/>
            <w:tcMar>
              <w:top w:w="80" w:type="dxa"/>
              <w:bottom w:w="80" w:type="dxa"/>
              <w:start w:w="120" w:type="dxa"/>
              <w:end w:w="120" w:type="dxa"/>
            </w:tcMar>
            <w:vAlign w:val="center"/>
            <w:shd w:fill="F2F4F7"/>
          </w:tcPr>
          <w:p>
            <w:pPr>
              <w:spacing w:before="0" w:after="40" w:line="252" w:lineRule="auto"/>
            </w:pPr>
            <w:r>
              <w:rPr>
                <w:b/>
                <w:color w:val="1C2430"/>
              </w:rPr>
            </w:r>
            <w:r>
              <w:rPr>
                <w:b/>
                <w:color w:val="1C2430"/>
                <w:sz w:val="17"/>
              </w:rPr>
              <w:t>Product effect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MVP scope</w:t>
            </w:r>
          </w:p>
        </w:tc>
        <w:tc>
          <w:tcPr>
            <w:tcW w:type="dxa" w:w="4089"/>
            <w:tcMar>
              <w:top w:w="80" w:type="dxa"/>
              <w:bottom w:w="80" w:type="dxa"/>
              <w:start w:w="120" w:type="dxa"/>
              <w:end w:w="120" w:type="dxa"/>
            </w:tcMar>
            <w:vAlign w:val="center"/>
          </w:tcPr>
          <w:p>
            <w:pPr>
              <w:spacing w:before="0" w:after="40" w:line="252" w:lineRule="auto"/>
            </w:pPr>
            <w:r/>
            <w:r>
              <w:rPr>
                <w:sz w:val="17"/>
              </w:rPr>
              <w:t>Ticketing moves completely to V2</w:t>
            </w:r>
          </w:p>
        </w:tc>
        <w:tc>
          <w:tcPr>
            <w:tcW w:type="dxa" w:w="3715"/>
            <w:tcMar>
              <w:top w:w="80" w:type="dxa"/>
              <w:bottom w:w="80" w:type="dxa"/>
              <w:start w:w="120" w:type="dxa"/>
              <w:end w:w="120" w:type="dxa"/>
            </w:tcMar>
            <w:vAlign w:val="center"/>
          </w:tcPr>
          <w:p>
            <w:pPr>
              <w:spacing w:before="0" w:after="40" w:line="252" w:lineRule="auto"/>
            </w:pPr>
            <w:r/>
            <w:r>
              <w:rPr>
                <w:sz w:val="17"/>
              </w:rPr>
              <w:t>Launch effort stays focused on digital cultural content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Entry flow</w:t>
            </w:r>
          </w:p>
        </w:tc>
        <w:tc>
          <w:tcPr>
            <w:tcW w:type="dxa" w:w="4089"/>
            <w:tcMar>
              <w:top w:w="80" w:type="dxa"/>
              <w:bottom w:w="80" w:type="dxa"/>
              <w:start w:w="120" w:type="dxa"/>
              <w:end w:w="120" w:type="dxa"/>
            </w:tcMar>
            <w:vAlign w:val="center"/>
          </w:tcPr>
          <w:p>
            <w:pPr>
              <w:spacing w:before="0" w:after="40" w:line="252" w:lineRule="auto"/>
            </w:pPr>
            <w:r/>
            <w:r>
              <w:rPr>
                <w:sz w:val="17"/>
              </w:rPr>
              <w:t>Splash always opens Home</w:t>
            </w:r>
          </w:p>
        </w:tc>
        <w:tc>
          <w:tcPr>
            <w:tcW w:type="dxa" w:w="3715"/>
            <w:tcMar>
              <w:top w:w="80" w:type="dxa"/>
              <w:bottom w:w="80" w:type="dxa"/>
              <w:start w:w="120" w:type="dxa"/>
              <w:end w:w="120" w:type="dxa"/>
            </w:tcMar>
            <w:vAlign w:val="center"/>
          </w:tcPr>
          <w:p>
            <w:pPr>
              <w:spacing w:before="0" w:after="40" w:line="252" w:lineRule="auto"/>
            </w:pPr>
            <w:r/>
            <w:r>
              <w:rPr>
                <w:sz w:val="17"/>
              </w:rPr>
              <w:t>Catalog remains accessible without an account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Identity</w:t>
            </w:r>
          </w:p>
        </w:tc>
        <w:tc>
          <w:tcPr>
            <w:tcW w:type="dxa" w:w="4089"/>
            <w:tcMar>
              <w:top w:w="80" w:type="dxa"/>
              <w:bottom w:w="80" w:type="dxa"/>
              <w:start w:w="120" w:type="dxa"/>
              <w:end w:w="120" w:type="dxa"/>
            </w:tcMar>
            <w:vAlign w:val="center"/>
          </w:tcPr>
          <w:p>
            <w:pPr>
              <w:spacing w:before="0" w:after="40" w:line="252" w:lineRule="auto"/>
            </w:pPr>
            <w:r/>
            <w:r>
              <w:rPr>
                <w:sz w:val="17"/>
              </w:rPr>
              <w:t>Verified phone is mandatory; e-mail optional; no social login at MVP</w:t>
            </w:r>
          </w:p>
        </w:tc>
        <w:tc>
          <w:tcPr>
            <w:tcW w:type="dxa" w:w="3715"/>
            <w:tcMar>
              <w:top w:w="80" w:type="dxa"/>
              <w:bottom w:w="80" w:type="dxa"/>
              <w:start w:w="120" w:type="dxa"/>
              <w:end w:w="120" w:type="dxa"/>
            </w:tcMar>
            <w:vAlign w:val="center"/>
          </w:tcPr>
          <w:p>
            <w:pPr>
              <w:spacing w:before="0" w:after="40" w:line="252" w:lineRule="auto"/>
            </w:pPr>
            <w:r/>
            <w:r>
              <w:rPr>
                <w:sz w:val="17"/>
              </w:rPr>
              <w:t>One clear account identity for Mali and West Africa</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Artist role</w:t>
            </w:r>
          </w:p>
        </w:tc>
        <w:tc>
          <w:tcPr>
            <w:tcW w:type="dxa" w:w="4089"/>
            <w:tcMar>
              <w:top w:w="80" w:type="dxa"/>
              <w:bottom w:w="80" w:type="dxa"/>
              <w:start w:w="120" w:type="dxa"/>
              <w:end w:w="120" w:type="dxa"/>
            </w:tcMar>
            <w:vAlign w:val="center"/>
          </w:tcPr>
          <w:p>
            <w:pPr>
              <w:spacing w:before="0" w:after="40" w:line="252" w:lineRule="auto"/>
            </w:pPr>
            <w:r/>
            <w:r>
              <w:rPr>
                <w:sz w:val="17"/>
              </w:rPr>
              <w:t>Administration alone creates and publishes content</w:t>
            </w:r>
          </w:p>
        </w:tc>
        <w:tc>
          <w:tcPr>
            <w:tcW w:type="dxa" w:w="3715"/>
            <w:tcMar>
              <w:top w:w="80" w:type="dxa"/>
              <w:bottom w:w="80" w:type="dxa"/>
              <w:start w:w="120" w:type="dxa"/>
              <w:end w:w="120" w:type="dxa"/>
            </w:tcMar>
            <w:vAlign w:val="center"/>
          </w:tcPr>
          <w:p>
            <w:pPr>
              <w:spacing w:before="0" w:after="40" w:line="252" w:lineRule="auto"/>
            </w:pPr>
            <w:r/>
            <w:r>
              <w:rPr>
                <w:sz w:val="17"/>
              </w:rPr>
              <w:t>No unplanned artist publishing portal</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Payment</w:t>
            </w:r>
          </w:p>
        </w:tc>
        <w:tc>
          <w:tcPr>
            <w:tcW w:type="dxa" w:w="4089"/>
            <w:tcMar>
              <w:top w:w="80" w:type="dxa"/>
              <w:bottom w:w="80" w:type="dxa"/>
              <w:start w:w="120" w:type="dxa"/>
              <w:end w:w="120" w:type="dxa"/>
            </w:tcMar>
            <w:vAlign w:val="center"/>
          </w:tcPr>
          <w:p>
            <w:pPr>
              <w:spacing w:before="0" w:after="40" w:line="252" w:lineRule="auto"/>
            </w:pPr>
            <w:r/>
            <w:r>
              <w:rPr>
                <w:sz w:val="17"/>
              </w:rPr>
              <w:t>One Order can have several immutable PaymentAttempts</w:t>
            </w:r>
          </w:p>
        </w:tc>
        <w:tc>
          <w:tcPr>
            <w:tcW w:type="dxa" w:w="3715"/>
            <w:tcMar>
              <w:top w:w="80" w:type="dxa"/>
              <w:bottom w:w="80" w:type="dxa"/>
              <w:start w:w="120" w:type="dxa"/>
              <w:end w:w="120" w:type="dxa"/>
            </w:tcMar>
            <w:vAlign w:val="center"/>
          </w:tcPr>
          <w:p>
            <w:pPr>
              <w:spacing w:before="0" w:after="40" w:line="252" w:lineRule="auto"/>
            </w:pPr>
            <w:r/>
            <w:r>
              <w:rPr>
                <w:sz w:val="17"/>
              </w:rPr>
              <w:t>Retries and provider changes remain traceable</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Finance</w:t>
            </w:r>
          </w:p>
        </w:tc>
        <w:tc>
          <w:tcPr>
            <w:tcW w:type="dxa" w:w="4089"/>
            <w:tcMar>
              <w:top w:w="80" w:type="dxa"/>
              <w:bottom w:w="80" w:type="dxa"/>
              <w:start w:w="120" w:type="dxa"/>
              <w:end w:w="120" w:type="dxa"/>
            </w:tcMar>
            <w:vAlign w:val="center"/>
          </w:tcPr>
          <w:p>
            <w:pPr>
              <w:spacing w:before="0" w:after="40" w:line="252" w:lineRule="auto"/>
            </w:pPr>
            <w:r/>
            <w:r>
              <w:rPr>
                <w:sz w:val="17"/>
              </w:rPr>
              <w:t>Balanced append-only ledger and compensating entries</w:t>
            </w:r>
          </w:p>
        </w:tc>
        <w:tc>
          <w:tcPr>
            <w:tcW w:type="dxa" w:w="3715"/>
            <w:tcMar>
              <w:top w:w="80" w:type="dxa"/>
              <w:bottom w:w="80" w:type="dxa"/>
              <w:start w:w="120" w:type="dxa"/>
              <w:end w:w="120" w:type="dxa"/>
            </w:tcMar>
            <w:vAlign w:val="center"/>
          </w:tcPr>
          <w:p>
            <w:pPr>
              <w:spacing w:before="0" w:after="40" w:line="252" w:lineRule="auto"/>
            </w:pPr>
            <w:r/>
            <w:r>
              <w:rPr>
                <w:sz w:val="17"/>
              </w:rPr>
              <w:t>Refunds and corrections are auditable</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Artist share</w:t>
            </w:r>
          </w:p>
        </w:tc>
        <w:tc>
          <w:tcPr>
            <w:tcW w:type="dxa" w:w="4089"/>
            <w:tcMar>
              <w:top w:w="80" w:type="dxa"/>
              <w:bottom w:w="80" w:type="dxa"/>
              <w:start w:w="120" w:type="dxa"/>
              <w:end w:w="120" w:type="dxa"/>
            </w:tcMar>
            <w:vAlign w:val="center"/>
          </w:tcPr>
          <w:p>
            <w:pPr>
              <w:spacing w:before="0" w:after="40" w:line="252" w:lineRule="auto"/>
            </w:pPr>
            <w:r/>
            <w:r>
              <w:rPr>
                <w:rFonts w:ascii="Consolas" w:hAnsi="Consolas"/>
                <w:color w:val="1F4D78"/>
                <w:sz w:val="19"/>
              </w:rPr>
              <w:t>artistRevenueShareBps=2000</w:t>
            </w:r>
            <w:r>
              <w:rPr>
                <w:sz w:val="17"/>
              </w:rPr>
              <w:t>, meaning 20%</w:t>
            </w:r>
          </w:p>
        </w:tc>
        <w:tc>
          <w:tcPr>
            <w:tcW w:type="dxa" w:w="3715"/>
            <w:tcMar>
              <w:top w:w="80" w:type="dxa"/>
              <w:bottom w:w="80" w:type="dxa"/>
              <w:start w:w="120" w:type="dxa"/>
              <w:end w:w="120" w:type="dxa"/>
            </w:tcMar>
            <w:vAlign w:val="center"/>
          </w:tcPr>
          <w:p>
            <w:pPr>
              <w:spacing w:before="0" w:after="40" w:line="252" w:lineRule="auto"/>
            </w:pPr>
            <w:r/>
            <w:r>
              <w:rPr>
                <w:sz w:val="17"/>
              </w:rPr>
              <w:t>No ambiguity between platform commission and artist share</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Artist support</w:t>
            </w:r>
          </w:p>
        </w:tc>
        <w:tc>
          <w:tcPr>
            <w:tcW w:type="dxa" w:w="4089"/>
            <w:tcMar>
              <w:top w:w="80" w:type="dxa"/>
              <w:bottom w:w="80" w:type="dxa"/>
              <w:start w:w="120" w:type="dxa"/>
              <w:end w:w="120" w:type="dxa"/>
            </w:tcMar>
            <w:vAlign w:val="center"/>
          </w:tcPr>
          <w:p>
            <w:pPr>
              <w:spacing w:before="0" w:after="40" w:line="252" w:lineRule="auto"/>
            </w:pPr>
            <w:r/>
            <w:r>
              <w:rPr>
                <w:sz w:val="17"/>
              </w:rPr>
              <w:t>Net amount after unavoidable tax/provider fees goes to the artist</w:t>
            </w:r>
          </w:p>
        </w:tc>
        <w:tc>
          <w:tcPr>
            <w:tcW w:type="dxa" w:w="3715"/>
            <w:tcMar>
              <w:top w:w="80" w:type="dxa"/>
              <w:bottom w:w="80" w:type="dxa"/>
              <w:start w:w="120" w:type="dxa"/>
              <w:end w:w="120" w:type="dxa"/>
            </w:tcMar>
            <w:vAlign w:val="center"/>
          </w:tcPr>
          <w:p>
            <w:pPr>
              <w:spacing w:before="0" w:after="40" w:line="252" w:lineRule="auto"/>
            </w:pPr>
            <w:r/>
            <w:r>
              <w:rPr>
                <w:sz w:val="17"/>
              </w:rPr>
              <w:t>"Soutenir l'artiste" keeps a credible direct-support meaning</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Media</w:t>
            </w:r>
          </w:p>
        </w:tc>
        <w:tc>
          <w:tcPr>
            <w:tcW w:type="dxa" w:w="4089"/>
            <w:tcMar>
              <w:top w:w="80" w:type="dxa"/>
              <w:bottom w:w="80" w:type="dxa"/>
              <w:start w:w="120" w:type="dxa"/>
              <w:end w:w="120" w:type="dxa"/>
            </w:tcMar>
            <w:vAlign w:val="center"/>
          </w:tcPr>
          <w:p>
            <w:pPr>
              <w:spacing w:before="0" w:after="40" w:line="252" w:lineRule="auto"/>
            </w:pPr>
            <w:r/>
            <w:r>
              <w:rPr>
                <w:sz w:val="17"/>
              </w:rPr>
              <w:t>Private MediaAsset plus short-lived signed playback descriptors</w:t>
            </w:r>
          </w:p>
        </w:tc>
        <w:tc>
          <w:tcPr>
            <w:tcW w:type="dxa" w:w="3715"/>
            <w:tcMar>
              <w:top w:w="80" w:type="dxa"/>
              <w:bottom w:w="80" w:type="dxa"/>
              <w:start w:w="120" w:type="dxa"/>
              <w:end w:w="120" w:type="dxa"/>
            </w:tcMar>
            <w:vAlign w:val="center"/>
          </w:tcPr>
          <w:p>
            <w:pPr>
              <w:spacing w:before="0" w:after="40" w:line="252" w:lineRule="auto"/>
            </w:pPr>
            <w:r/>
            <w:r>
              <w:rPr>
                <w:sz w:val="17"/>
              </w:rPr>
              <w:t>No raw media source URL is exposed</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Preview</w:t>
            </w:r>
          </w:p>
        </w:tc>
        <w:tc>
          <w:tcPr>
            <w:tcW w:type="dxa" w:w="4089"/>
            <w:tcMar>
              <w:top w:w="80" w:type="dxa"/>
              <w:bottom w:w="80" w:type="dxa"/>
              <w:start w:w="120" w:type="dxa"/>
              <w:end w:w="120" w:type="dxa"/>
            </w:tcMar>
            <w:vAlign w:val="center"/>
          </w:tcPr>
          <w:p>
            <w:pPr>
              <w:spacing w:before="0" w:after="40" w:line="252" w:lineRule="auto"/>
            </w:pPr>
            <w:r/>
            <w:r>
              <w:rPr>
                <w:sz w:val="17"/>
              </w:rPr>
              <w:t>Anonymous mobile PreviewGrant, separate from Entitlement</w:t>
            </w:r>
          </w:p>
        </w:tc>
        <w:tc>
          <w:tcPr>
            <w:tcW w:type="dxa" w:w="3715"/>
            <w:tcMar>
              <w:top w:w="80" w:type="dxa"/>
              <w:bottom w:w="80" w:type="dxa"/>
              <w:start w:w="120" w:type="dxa"/>
              <w:end w:w="120" w:type="dxa"/>
            </w:tcMar>
            <w:vAlign w:val="center"/>
          </w:tcPr>
          <w:p>
            <w:pPr>
              <w:spacing w:before="0" w:after="40" w:line="252" w:lineRule="auto"/>
            </w:pPr>
            <w:r/>
            <w:r>
              <w:rPr>
                <w:sz w:val="17"/>
              </w:rPr>
              <w:t>Guests can listen to a short extract without an account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Archive</w:t>
            </w:r>
          </w:p>
        </w:tc>
        <w:tc>
          <w:tcPr>
            <w:tcW w:type="dxa" w:w="4089"/>
            <w:tcMar>
              <w:top w:w="80" w:type="dxa"/>
              <w:bottom w:w="80" w:type="dxa"/>
              <w:start w:w="120" w:type="dxa"/>
              <w:end w:w="120" w:type="dxa"/>
            </w:tcMar>
            <w:vAlign w:val="center"/>
          </w:tcPr>
          <w:p>
            <w:pPr>
              <w:spacing w:before="0" w:after="40" w:line="252" w:lineRule="auto"/>
            </w:pPr>
            <w:r/>
            <w:r>
              <w:rPr>
                <w:sz w:val="17"/>
              </w:rPr>
              <w:t>Removed publicly, preserved in Mes achats for buyers</w:t>
            </w:r>
          </w:p>
        </w:tc>
        <w:tc>
          <w:tcPr>
            <w:tcW w:type="dxa" w:w="3715"/>
            <w:tcMar>
              <w:top w:w="80" w:type="dxa"/>
              <w:bottom w:w="80" w:type="dxa"/>
              <w:start w:w="120" w:type="dxa"/>
              <w:end w:w="120" w:type="dxa"/>
            </w:tcMar>
            <w:vAlign w:val="center"/>
          </w:tcPr>
          <w:p>
            <w:pPr>
              <w:spacing w:before="0" w:after="40" w:line="252" w:lineRule="auto"/>
            </w:pPr>
            <w:r/>
            <w:r>
              <w:rPr>
                <w:sz w:val="17"/>
              </w:rPr>
              <w:t>Permanent purchase remains permanent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Offline</w:t>
            </w:r>
          </w:p>
        </w:tc>
        <w:tc>
          <w:tcPr>
            <w:tcW w:type="dxa" w:w="4089"/>
            <w:tcMar>
              <w:top w:w="80" w:type="dxa"/>
              <w:bottom w:w="80" w:type="dxa"/>
              <w:start w:w="120" w:type="dxa"/>
              <w:end w:w="120" w:type="dxa"/>
            </w:tcMar>
            <w:vAlign w:val="center"/>
          </w:tcPr>
          <w:p>
            <w:pPr>
              <w:spacing w:before="0" w:after="40" w:line="252" w:lineRule="auto"/>
            </w:pPr>
            <w:r/>
            <w:r>
              <w:rPr>
                <w:sz w:val="17"/>
              </w:rPr>
              <w:t>AES-256-GCM chunks, device-bound key and renewable license</w:t>
            </w:r>
          </w:p>
        </w:tc>
        <w:tc>
          <w:tcPr>
            <w:tcW w:type="dxa" w:w="3715"/>
            <w:tcMar>
              <w:top w:w="80" w:type="dxa"/>
              <w:bottom w:w="80" w:type="dxa"/>
              <w:start w:w="120" w:type="dxa"/>
              <w:end w:w="120" w:type="dxa"/>
            </w:tcMar>
            <w:vAlign w:val="center"/>
          </w:tcPr>
          <w:p>
            <w:pPr>
              <w:spacing w:before="0" w:after="40" w:line="252" w:lineRule="auto"/>
            </w:pPr>
            <w:r/>
            <w:r>
              <w:rPr>
                <w:sz w:val="17"/>
              </w:rPr>
              <w:t>No clear media file is stored at rest</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Back-office</w:t>
            </w:r>
          </w:p>
        </w:tc>
        <w:tc>
          <w:tcPr>
            <w:tcW w:type="dxa" w:w="4089"/>
            <w:tcMar>
              <w:top w:w="80" w:type="dxa"/>
              <w:bottom w:w="80" w:type="dxa"/>
              <w:start w:w="120" w:type="dxa"/>
              <w:end w:w="120" w:type="dxa"/>
            </w:tcMar>
            <w:vAlign w:val="center"/>
          </w:tcPr>
          <w:p>
            <w:pPr>
              <w:spacing w:before="0" w:after="40" w:line="252" w:lineRule="auto"/>
            </w:pPr>
            <w:r/>
            <w:r>
              <w:rPr>
                <w:sz w:val="17"/>
              </w:rPr>
              <w:t>Light theme only; least-privilege server RBAC</w:t>
            </w:r>
          </w:p>
        </w:tc>
        <w:tc>
          <w:tcPr>
            <w:tcW w:type="dxa" w:w="3715"/>
            <w:tcMar>
              <w:top w:w="80" w:type="dxa"/>
              <w:bottom w:w="80" w:type="dxa"/>
              <w:start w:w="120" w:type="dxa"/>
              <w:end w:w="120" w:type="dxa"/>
            </w:tcMar>
            <w:vAlign w:val="center"/>
          </w:tcPr>
          <w:p>
            <w:pPr>
              <w:spacing w:before="0" w:after="40" w:line="252" w:lineRule="auto"/>
            </w:pPr>
            <w:r/>
            <w:r>
              <w:rPr>
                <w:sz w:val="17"/>
              </w:rPr>
              <w:t>Less UI debt and fewer dangerous permissions</w:t>
            </w:r>
          </w:p>
        </w:tc>
      </w:tr>
      <w:tr>
        <w:trPr>
          <w:cantSplit/>
        </w:trPr>
        <w:tc>
          <w:tcPr>
            <w:tcW w:type="dxa" w:w="1556"/>
            <w:tcMar>
              <w:top w:w="80" w:type="dxa"/>
              <w:bottom w:w="80" w:type="dxa"/>
              <w:start w:w="120" w:type="dxa"/>
              <w:end w:w="120" w:type="dxa"/>
            </w:tcMar>
            <w:vAlign w:val="center"/>
          </w:tcPr>
          <w:p>
            <w:pPr>
              <w:spacing w:before="0" w:after="40" w:line="252" w:lineRule="auto"/>
            </w:pPr>
            <w:r/>
            <w:r>
              <w:rPr>
                <w:sz w:val="17"/>
              </w:rPr>
              <w:t>Social scope</w:t>
            </w:r>
          </w:p>
        </w:tc>
        <w:tc>
          <w:tcPr>
            <w:tcW w:type="dxa" w:w="4089"/>
            <w:tcMar>
              <w:top w:w="80" w:type="dxa"/>
              <w:bottom w:w="80" w:type="dxa"/>
              <w:start w:w="120" w:type="dxa"/>
              <w:end w:w="120" w:type="dxa"/>
            </w:tcMar>
            <w:vAlign w:val="center"/>
          </w:tcPr>
          <w:p>
            <w:pPr>
              <w:spacing w:before="0" w:after="40" w:line="252" w:lineRule="auto"/>
            </w:pPr>
            <w:r/>
            <w:r>
              <w:rPr>
                <w:sz w:val="17"/>
              </w:rPr>
              <w:t>Favorites/playlists before beta; reviews/ratings in V2</w:t>
            </w:r>
          </w:p>
        </w:tc>
        <w:tc>
          <w:tcPr>
            <w:tcW w:type="dxa" w:w="3715"/>
            <w:tcMar>
              <w:top w:w="80" w:type="dxa"/>
              <w:bottom w:w="80" w:type="dxa"/>
              <w:start w:w="120" w:type="dxa"/>
              <w:end w:w="120" w:type="dxa"/>
            </w:tcMar>
            <w:vAlign w:val="center"/>
          </w:tcPr>
          <w:p>
            <w:pPr>
              <w:spacing w:before="0" w:after="40" w:line="252" w:lineRule="auto"/>
            </w:pPr>
            <w:r/>
            <w:r>
              <w:rPr>
                <w:sz w:val="17"/>
              </w:rPr>
              <w:t>Player utility remains, moderation debt is deferred</w:t>
            </w:r>
          </w:p>
        </w:tc>
      </w:tr>
    </w:tbl>
    <w:p>
      <w:pPr>
        <w:spacing w:after="20"/>
      </w:pPr>
    </w:p>
    <w:p>
      <w:pPr>
        <w:pStyle w:val="Heading1"/>
      </w:pPr>
      <w:r>
        <w:t>3. Refund and loyalty rule</w:t>
      </w:r>
    </w:p>
    <w:p>
      <w:r>
        <w:t>A full refund of an item revokes only the corresponding purchase right when no other valid grant exists. It creates compensating ledger entries, reverses the net sale and artist earning, and lowers the net qualifying spend.</w:t>
      </w:r>
    </w:p>
    <w:p>
      <w:r>
        <w:t>The loyalty tier already achieved never moves down during the MVP. A refunded amount does not help the user reach the next tier.</w:t>
      </w:r>
    </w:p>
    <w:p>
      <w:pPr>
        <w:pStyle w:val="Heading1"/>
      </w:pPr>
      <w:r>
        <w:t>4. What Codex is authorized to do now</w:t>
      </w:r>
    </w:p>
    <w:p>
      <w:pPr>
        <w:pStyle w:val="ListNumber"/>
      </w:pPr>
      <w:r>
        <w:t>Preserve and audit the current KORA-REBUILD repository.</w:t>
      </w:r>
    </w:p>
    <w:p>
      <w:pPr>
        <w:pStyle w:val="ListNumber"/>
      </w:pPr>
      <w:r>
        <w:t>Integrate SOURCE_OF_TRUTH, the Alignment Register V2, Decision Log and ADR-001 through ADR-024.</w:t>
      </w:r>
    </w:p>
    <w:p>
      <w:pPr>
        <w:pStyle w:val="ListNumber"/>
      </w:pPr>
      <w:r>
        <w:t>Produce the target data-model document and pilot OpenAPI without migrations.</w:t>
      </w:r>
    </w:p>
    <w:p>
      <w:pPr>
        <w:pStyle w:val="ListNumber"/>
      </w:pPr>
      <w:r>
        <w:t>Restructure requirements traceability.</w:t>
      </w:r>
    </w:p>
    <w:p>
      <w:pPr>
        <w:pStyle w:val="ListNumber"/>
      </w:pPr>
      <w:r>
        <w:t>Reproduce and repair the current Flutter foundation errors.</w:t>
      </w:r>
    </w:p>
    <w:p>
      <w:pPr>
        <w:pStyle w:val="ListNumber"/>
      </w:pPr>
      <w:r>
        <w:t>Validate the foundation and give a Go/No-Go for Sprint 0C.</w:t>
      </w:r>
    </w:p>
    <w:p>
      <w:pPr>
        <w:pStyle w:val="Heading1"/>
        <w:pageBreakBefore/>
      </w:pPr>
      <w:r>
        <w:t>5. Known foundation issues to verify</w:t>
      </w:r>
    </w:p>
    <w:p>
      <w:pPr>
        <w:pStyle w:val="ListBullet"/>
      </w:pPr>
      <w:r>
        <w:t xml:space="preserve">Theme API mismatch: </w:t>
      </w:r>
      <w:r>
        <w:rPr>
          <w:rFonts w:ascii="Consolas" w:hAnsi="Consolas"/>
          <w:color w:val="1F4D78"/>
          <w:sz w:val="19"/>
        </w:rPr>
        <w:t>CardTheme</w:t>
      </w:r>
      <w:r>
        <w:t xml:space="preserve"> versus </w:t>
      </w:r>
      <w:r>
        <w:rPr>
          <w:rFonts w:ascii="Consolas" w:hAnsi="Consolas"/>
          <w:color w:val="1F4D78"/>
          <w:sz w:val="19"/>
        </w:rPr>
        <w:t>CardThemeData</w:t>
      </w:r>
      <w:r>
        <w:t>.</w:t>
      </w:r>
    </w:p>
    <w:p>
      <w:pPr>
        <w:pStyle w:val="ListBullet"/>
      </w:pPr>
      <w:r>
        <w:t xml:space="preserve">Obsolete </w:t>
      </w:r>
      <w:r>
        <w:rPr>
          <w:rFonts w:ascii="Consolas" w:hAnsi="Consolas"/>
          <w:color w:val="1F4D78"/>
          <w:sz w:val="19"/>
        </w:rPr>
        <w:t>MyApp</w:t>
      </w:r>
      <w:r>
        <w:t xml:space="preserve"> reference in the generated widget test.</w:t>
      </w:r>
    </w:p>
    <w:p>
      <w:pPr>
        <w:pStyle w:val="ListBullet"/>
      </w:pPr>
      <w:r>
        <w:t>RenderFlex overflow in the foundation screen.</w:t>
      </w:r>
    </w:p>
    <w:p>
      <w:pPr>
        <w:pStyle w:val="ListBullet"/>
      </w:pPr>
      <w:r>
        <w:t>Windows desktop build unavailable because Visual Studio desktop tooling is absent; this is not an MVP blocker.</w:t>
      </w:r>
    </w:p>
    <w:p>
      <w:r>
        <w:t>Codex must reproduce each current failure before modifying it and must preserve all pre-existing user work.</w:t>
      </w:r>
    </w:p>
    <w:p>
      <w:pPr>
        <w:pStyle w:val="Heading1"/>
      </w:pPr>
      <w:r>
        <w:t>6. What remains prohibited</w:t>
      </w:r>
    </w:p>
    <w:p>
      <w:pPr>
        <w:pStyle w:val="ListBullet"/>
      </w:pPr>
      <w:r>
        <w:t>Real payment integration.</w:t>
      </w:r>
    </w:p>
    <w:p>
      <w:pPr>
        <w:pStyle w:val="ListBullet"/>
      </w:pPr>
      <w:r>
        <w:t>Prisma migrations for transaction, finance, media or offline domains.</w:t>
      </w:r>
    </w:p>
    <w:p>
      <w:pPr>
        <w:pStyle w:val="ListBullet"/>
      </w:pPr>
      <w:r>
        <w:t>Ledger, refund, payout or reconciliation business code.</w:t>
      </w:r>
    </w:p>
    <w:p>
      <w:pPr>
        <w:pStyle w:val="ListBullet"/>
      </w:pPr>
      <w:r>
        <w:t>Media upload/publication business workflow.</w:t>
      </w:r>
    </w:p>
    <w:p>
      <w:pPr>
        <w:pStyle w:val="ListBullet"/>
      </w:pPr>
      <w:r>
        <w:t>Secure offline implementation.</w:t>
      </w:r>
    </w:p>
    <w:p>
      <w:pPr>
        <w:pStyle w:val="ListBullet"/>
      </w:pPr>
      <w:r>
        <w:t>Ticketing and reviews.</w:t>
      </w:r>
    </w:p>
    <w:p>
      <w:pPr>
        <w:pStyle w:val="ListBullet"/>
      </w:pPr>
      <w:r>
        <w:t>Production credentials or provider URLs.</w:t>
      </w:r>
    </w:p>
    <w:p>
      <w:pPr>
        <w:spacing w:after="120"/>
      </w:pPr>
    </w:p>
    <w:p>
      <w:pPr>
        <w:pStyle w:val="Heading1"/>
      </w:pPr>
      <w:r>
        <w:t>7. External gates that remain</w:t>
      </w:r>
    </w:p>
    <w:p>
      <w:r>
        <w:t>Real payment and production distribution still require store-policy, provider-contract, tax, receipt, refund and data-residency approval. This is an external commercial/legal gate, not a remaining specification contradiction.</w:t>
      </w:r>
    </w:p>
    <w:p>
      <w:pPr>
        <w:pStyle w:val="Heading1"/>
      </w:pPr>
      <w:r>
        <w:t>8. Immediate action</w:t>
      </w:r>
    </w:p>
    <w:p>
      <w:r>
        <w:t>Give Codex:</w:t>
      </w:r>
    </w:p>
    <w:p>
      <w:pPr>
        <w:pStyle w:val="ListBullet"/>
      </w:pPr>
      <w:r>
        <w:t>the current KORA-REBUILD repository;</w:t>
      </w:r>
    </w:p>
    <w:p>
      <w:pPr>
        <w:pStyle w:val="ListBullet"/>
      </w:pPr>
      <w:r>
        <w:t>this Resolution Pack V2;</w:t>
      </w:r>
    </w:p>
    <w:p>
      <w:pPr>
        <w:pStyle w:val="ListBullet"/>
      </w:pPr>
      <w:r>
        <w:t>the reference documents, especially Cahier des charges V4;</w:t>
      </w:r>
    </w:p>
    <w:p>
      <w:pPr>
        <w:pStyle w:val="ListBullet"/>
      </w:pPr>
      <w:r>
        <w:rPr>
          <w:rFonts w:ascii="Consolas" w:hAnsi="Consolas"/>
          <w:color w:val="1F4D78"/>
          <w:sz w:val="19"/>
        </w:rPr>
        <w:t>SPRINT_0B_ARCHITECTURE_ALIGNMENT_AND_FOUNDATION_REPAIR.md</w:t>
      </w:r>
      <w:r>
        <w:t>.</w:t>
      </w:r>
    </w:p>
    <w:p>
      <w:r>
        <w:t>Expected result: a contradiction-free governance baseline, aligned pilot contracts, repaired Flutter foundation and a clear Go/No-Go for Sprint 0C.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Mohamed Sogoba  |  Decision Memo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280"/>
        <w:sz w:val="17"/>
      </w:rPr>
      <w:t>KORA+  |  Specification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RACallout">
    <w:name w:val="KORA Callout"/>
    <w:pPr>
      <w:spacing w:before="100" w:after="100" w:line="264" w:lineRule="auto"/>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