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GGTitle"/>
      </w:pPr>
      <w:r>
        <w:t>GET GOLD</w:t>
      </w:r>
    </w:p>
    <w:p>
      <w:pPr>
        <w:pStyle w:val="GGSub"/>
      </w:pPr>
      <w:r>
        <w:t>Vendor Pre-Agreement  ·  Memorandum of Understanding</w:t>
      </w:r>
    </w:p>
    <w:p>
      <w:pPr>
        <w:spacing w:before="80" w:after="160"/>
        <w:pBdr>
          <w:bottom w:val="single" w:sz="6" w:color="D6B65A" w:space="1"/>
        </w:pBdr>
      </w:pPr>
    </w:p>
    <w:p>
      <w:pPr>
        <w:pStyle w:val="GGH1"/>
      </w:pPr>
      <w:r>
        <w:t>BETWEEN</w:t>
      </w:r>
    </w:p>
    <w:p>
      <w:pPr>
        <w:pStyle w:val="GGParty"/>
      </w:pPr>
      <w:r>
        <w:rPr>
          <w:b/>
        </w:rPr>
        <w:t xml:space="preserve">(1)  </w:t>
      </w:r>
      <w:r>
        <w:rPr>
          <w:b/>
        </w:rPr>
        <w:t>Mohamed Amer</w:t>
      </w:r>
      <w:r>
        <w:t xml:space="preserve">, an individual resident in the United Arab Emirates, acting on his own behalf and on behalf of a company to be incorporated in the UAE to operate the </w:t>
      </w:r>
      <w:r>
        <w:rPr>
          <w:b/>
        </w:rPr>
        <w:t>Get Gold</w:t>
      </w:r>
      <w:r>
        <w:t xml:space="preserve"> platform (“Get Gold”, “we”, “us”); and</w:t>
      </w:r>
    </w:p>
    <w:p>
      <w:pPr>
        <w:pStyle w:val="GGParty"/>
      </w:pPr>
      <w:r>
        <w:rPr>
          <w:b/>
        </w:rPr>
        <w:t xml:space="preserve">(2)  </w:t>
      </w:r>
      <w:r>
        <w:t>______________________________________________</w:t>
      </w:r>
      <w:r>
        <w:t xml:space="preserve">, a business licensed in the UAE under trade licence number </w:t>
      </w:r>
      <w:r>
        <w:t>____________________</w:t>
      </w:r>
      <w:r>
        <w:t xml:space="preserve"> (“the Vendor”, “you”).</w:t>
      </w:r>
    </w:p>
    <w:p>
      <w:pPr>
        <w:spacing w:after="200"/>
      </w:pPr>
      <w:r>
        <w:t>Date of signature:  ______ / ______ / 20______</w:t>
      </w:r>
    </w:p>
    <w:p>
      <w:pPr>
        <w:spacing w:before="80" w:after="160"/>
        <w:pBdr>
          <w:bottom w:val="single" w:sz="6" w:color="D6B65A" w:space="1"/>
        </w:pBdr>
      </w:pPr>
    </w:p>
    <w:p>
      <w:pPr>
        <w:pStyle w:val="GGH1"/>
      </w:pPr>
      <w:r>
        <w:t>1.  Purpose and status</w:t>
      </w:r>
    </w:p>
    <w:p>
      <w:pPr>
        <w:spacing w:after="100"/>
        <w:ind w:left="624" w:hanging="624"/>
      </w:pPr>
      <w:r>
        <w:rPr>
          <w:b/>
        </w:rPr>
        <w:t>1.1</w:t>
        <w:tab/>
      </w:r>
      <w:r>
        <w:t>Get Gold is building an online marketplace where customers in the UAE browse gold and jewellery from verified UAE vendors, see the live gold rate and every price component, reserve an item at a locked price, and either collect it or have it delivered.</w:t>
      </w:r>
    </w:p>
    <w:p>
      <w:pPr>
        <w:spacing w:after="100"/>
        <w:ind w:left="624" w:hanging="624"/>
      </w:pPr>
      <w:r>
        <w:rPr>
          <w:b/>
        </w:rPr>
        <w:t>1.2</w:t>
        <w:tab/>
      </w:r>
      <w:r>
        <w:t xml:space="preserve">This document records what both parties intend. </w:t>
      </w:r>
      <w:r>
        <w:rPr>
          <w:b/>
        </w:rPr>
        <w:t>Except for clauses 8, 9, 10, 12 and 14, which are binding, this MOU is not legally binding</w:t>
      </w:r>
      <w:r>
        <w:t xml:space="preserve"> and neither party is obliged to transact.</w:t>
      </w:r>
    </w:p>
    <w:p>
      <w:pPr>
        <w:spacing w:after="100"/>
        <w:ind w:left="624" w:hanging="624"/>
      </w:pPr>
      <w:r>
        <w:rPr>
          <w:b/>
        </w:rPr>
        <w:t>1.3</w:t>
        <w:tab/>
      </w:r>
      <w:r>
        <w:t>Nothing here creates a partnership, joint venture, employment or agency relationship, and neither party may hold itself out as able to bind the other.</w:t>
      </w:r>
    </w:p>
    <w:p>
      <w:pPr>
        <w:pStyle w:val="GGH1"/>
      </w:pPr>
      <w:r>
        <w:t>2.  Term</w:t>
      </w:r>
    </w:p>
    <w:p>
      <w:pPr>
        <w:spacing w:after="100"/>
        <w:ind w:left="624" w:hanging="624"/>
      </w:pPr>
      <w:r>
        <w:rPr>
          <w:b/>
        </w:rPr>
        <w:t>2.1</w:t>
        <w:tab/>
      </w:r>
      <w:r>
        <w:t xml:space="preserve">This MOU takes effect on signature and expires on </w:t>
      </w:r>
      <w:r>
        <w:rPr>
          <w:b/>
        </w:rPr>
        <w:t>30 April 2027</w:t>
      </w:r>
      <w:r>
        <w:t>, unless replaced earlier by a full agreement or ended under clause 11.</w:t>
      </w:r>
    </w:p>
    <w:p>
      <w:pPr>
        <w:spacing w:after="100"/>
        <w:ind w:left="624" w:hanging="624"/>
      </w:pPr>
      <w:r>
        <w:rPr>
          <w:b/>
        </w:rPr>
        <w:t>2.2</w:t>
        <w:tab/>
      </w:r>
      <w:r>
        <w:t>On expiry, clauses 8, 9, 10, 12 and 14 survive for the periods stated in them.</w:t>
      </w:r>
    </w:p>
    <w:p>
      <w:pPr>
        <w:pStyle w:val="GGH1"/>
      </w:pPr>
      <w:r>
        <w:t>3.  What Get Gold provides</w:t>
      </w:r>
    </w:p>
    <w:p>
      <w:pPr>
        <w:spacing w:after="100"/>
        <w:ind w:left="624" w:hanging="624"/>
      </w:pPr>
      <w:r>
        <w:rPr>
          <w:b/>
        </w:rPr>
        <w:t>3.1</w:t>
        <w:tab/>
      </w:r>
      <w:r>
        <w:t>Listing of your products on the Get Gold platform at no charge during the Free Period (clause 5).</w:t>
      </w:r>
    </w:p>
    <w:p>
      <w:pPr>
        <w:spacing w:after="100"/>
        <w:ind w:left="624" w:hanging="624"/>
      </w:pPr>
      <w:r>
        <w:rPr>
          <w:b/>
        </w:rPr>
        <w:t>3.2</w:t>
        <w:tab/>
      </w:r>
      <w:r>
        <w:t>Live gold pricing, so your prices update automatically with the market.</w:t>
      </w:r>
    </w:p>
    <w:p>
      <w:pPr>
        <w:spacing w:after="100"/>
        <w:ind w:left="624" w:hanging="624"/>
      </w:pPr>
      <w:r>
        <w:rPr>
          <w:b/>
        </w:rPr>
        <w:t>3.3</w:t>
        <w:tab/>
      </w:r>
      <w:r>
        <w:t>Transparent display of each price component — gold value, making charge, stone value and your premium — shown separately to the customer.</w:t>
      </w:r>
    </w:p>
    <w:p>
      <w:pPr>
        <w:spacing w:after="100"/>
        <w:ind w:left="624" w:hanging="624"/>
      </w:pPr>
      <w:r>
        <w:rPr>
          <w:b/>
        </w:rPr>
        <w:t>3.4</w:t>
        <w:tab/>
      </w:r>
      <w:r>
        <w:t>Customer reservations passed to you with the item, price and customer contact details.</w:t>
      </w:r>
    </w:p>
    <w:p>
      <w:pPr>
        <w:spacing w:after="100"/>
        <w:ind w:left="624" w:hanging="624"/>
      </w:pPr>
      <w:r>
        <w:rPr>
          <w:b/>
        </w:rPr>
        <w:t>3.5</w:t>
        <w:tab/>
      </w:r>
      <w:r>
        <w:t>Product photography and listing setup for your initial stock, at no charge.</w:t>
      </w:r>
    </w:p>
    <w:p>
      <w:pPr>
        <w:pStyle w:val="GGH1"/>
      </w:pPr>
      <w:r>
        <w:t>4.  What the Vendor provides</w:t>
      </w:r>
    </w:p>
    <w:p>
      <w:pPr>
        <w:spacing w:after="100"/>
        <w:ind w:left="624" w:hanging="624"/>
      </w:pPr>
      <w:r>
        <w:rPr>
          <w:b/>
        </w:rPr>
        <w:t>4.1</w:t>
        <w:tab/>
      </w:r>
      <w:r>
        <w:t>Accurate product information: weight, karat, making charge, stone value, certificate and hallmark details, and available quantity.</w:t>
      </w:r>
    </w:p>
    <w:p>
      <w:pPr>
        <w:spacing w:after="100"/>
        <w:ind w:left="624" w:hanging="624"/>
      </w:pPr>
      <w:r>
        <w:rPr>
          <w:b/>
        </w:rPr>
        <w:t>4.2</w:t>
        <w:tab/>
      </w:r>
      <w:r>
        <w:rPr>
          <w:b/>
        </w:rPr>
        <w:t xml:space="preserve">You honour the reserved price </w:t>
      </w:r>
      <w:r/>
      <w:r>
        <w:t>shown to the customer at the time of reservation, for the reservation window (10 minutes at the locked gold rate, then the prevailing rate), provided the customer completes within that window.</w:t>
      </w:r>
    </w:p>
    <w:p>
      <w:pPr>
        <w:spacing w:after="100"/>
        <w:ind w:left="624" w:hanging="624"/>
      </w:pPr>
      <w:r>
        <w:rPr>
          <w:b/>
        </w:rPr>
        <w:t>4.3</w:t>
        <w:tab/>
      </w:r>
      <w:r>
        <w:t>You keep stock levels current and tell us promptly when an item is no longer available.</w:t>
      </w:r>
    </w:p>
    <w:p>
      <w:pPr>
        <w:spacing w:after="100"/>
        <w:ind w:left="624" w:hanging="624"/>
      </w:pPr>
      <w:r>
        <w:rPr>
          <w:b/>
        </w:rPr>
        <w:t>4.4</w:t>
        <w:tab/>
      </w:r>
      <w:r>
        <w:t>You respond to a reservation within ________ hours during business hours.</w:t>
      </w:r>
    </w:p>
    <w:p>
      <w:pPr>
        <w:spacing w:after="100"/>
        <w:ind w:left="624" w:hanging="624"/>
      </w:pPr>
      <w:r>
        <w:rPr>
          <w:b/>
        </w:rPr>
        <w:t>4.5</w:t>
        <w:tab/>
      </w:r>
      <w:r>
        <w:t>You hold a valid UAE trade licence permitting you to sell the goods listed, and all goods are authentic, accurately described, and hallmarked where required.</w:t>
      </w:r>
    </w:p>
    <w:p>
      <w:pPr>
        <w:pStyle w:val="GGH1"/>
      </w:pPr>
      <w:r>
        <w:t>5.  Commercial terms — fees</w:t>
      </w:r>
    </w:p>
    <w:p>
      <w:pPr>
        <w:spacing w:after="100"/>
        <w:ind w:left="624" w:hanging="624"/>
      </w:pPr>
      <w:r>
        <w:rPr>
          <w:b/>
        </w:rPr>
        <w:t>5.1</w:t>
        <w:tab/>
      </w:r>
      <w:r>
        <w:rPr>
          <w:b/>
        </w:rPr>
        <w:t xml:space="preserve">Free Period.  </w:t>
      </w:r>
      <w:r>
        <w:t xml:space="preserve">Listing on Get Gold is </w:t>
      </w:r>
      <w:r>
        <w:rPr>
          <w:b/>
        </w:rPr>
        <w:t>free of any fee or commission for six (6) months</w:t>
      </w:r>
      <w:r>
        <w:t xml:space="preserve"> from the date of signature. During the Free Period you owe Get Gold nothing.</w:t>
      </w:r>
    </w:p>
    <w:p>
      <w:pPr>
        <w:spacing w:after="100"/>
        <w:ind w:left="624" w:hanging="624"/>
      </w:pPr>
      <w:r>
        <w:rPr>
          <w:b/>
        </w:rPr>
        <w:t>5.2</w:t>
        <w:tab/>
      </w:r>
      <w:r>
        <w:rPr>
          <w:b/>
        </w:rPr>
        <w:t xml:space="preserve">Commission after the Free Period.  </w:t>
      </w:r>
      <w:r>
        <w:t xml:space="preserve">After the Free Period, Get Gold intends to charge a commission of </w:t>
      </w:r>
      <w:r>
        <w:rPr>
          <w:b/>
        </w:rPr>
        <w:t>ten percent (10%)</w:t>
      </w:r>
      <w:r>
        <w:t xml:space="preserve"> calculated </w:t>
      </w:r>
      <w:r>
        <w:rPr>
          <w:b/>
        </w:rPr>
        <w:t>only on the Making Charge and the Vendor Premium</w:t>
      </w:r>
      <w:r>
        <w:t xml:space="preserve"> of each completed sale originating from the platform.</w:t>
      </w:r>
    </w:p>
    <w:p>
      <w:pPr>
        <w:spacing w:after="100"/>
        <w:ind w:left="624" w:hanging="624"/>
      </w:pPr>
      <w:r>
        <w:rPr>
          <w:b/>
        </w:rPr>
        <w:t>5.3</w:t>
        <w:tab/>
      </w:r>
      <w:r>
        <w:rPr>
          <w:b/>
        </w:rPr>
        <w:t xml:space="preserve">The commission is never calculated on the gold value or the stone value.  </w:t>
      </w:r>
      <w:r>
        <w:t>The metal and the stones are a pass-through and Get Gold takes no share of them.</w:t>
      </w:r>
    </w:p>
    <w:p>
      <w:pPr>
        <w:spacing w:after="100"/>
        <w:ind w:left="624" w:hanging="624"/>
      </w:pPr>
      <w:r>
        <w:rPr>
          <w:b/>
        </w:rPr>
        <w:t>5.4</w:t>
        <w:tab/>
      </w:r>
      <w:r>
        <w:rPr>
          <w:b/>
        </w:rPr>
        <w:t xml:space="preserve">If the Making Charge and Vendor Premium are zero, the commission is zero.  </w:t>
      </w:r>
      <w:r>
        <w:t>You never pay commission on a sale from which you earned no margin.</w:t>
      </w:r>
    </w:p>
    <w:p>
      <w:pPr>
        <w:spacing w:after="100"/>
        <w:ind w:left="624" w:hanging="624"/>
      </w:pPr>
      <w:r>
        <w:rPr>
          <w:b/>
        </w:rPr>
        <w:t>5.5</w:t>
        <w:tab/>
      </w:r>
      <w:r>
        <w:rPr>
          <w:b/>
        </w:rPr>
        <w:t xml:space="preserve">Rates may change.  </w:t>
      </w:r>
      <w:r>
        <w:t xml:space="preserve">Get Gold may change the commission rate, introduce listing or other fees, or vary the Free Period, </w:t>
      </w:r>
      <w:r>
        <w:rPr>
          <w:b/>
        </w:rPr>
        <w:t>on not less than thirty (30) days’ written notice</w:t>
      </w:r>
      <w:r>
        <w:t xml:space="preserve"> to you. If you do not accept a change, you may end this MOU under clause 11 before it takes effect, at no cost.</w:t>
      </w:r>
    </w:p>
    <w:p>
      <w:pPr>
        <w:spacing w:after="100"/>
        <w:ind w:left="624" w:hanging="624"/>
      </w:pPr>
      <w:r>
        <w:rPr>
          <w:b/>
        </w:rPr>
        <w:t>5.6</w:t>
        <w:tab/>
      </w:r>
      <w:r>
        <w:rPr>
          <w:b/>
        </w:rPr>
        <w:t>No fee is payable, and no invoice will be issued, before Get Gold is incorporated in the UAE and has notified you in writing of the applicable rate.</w:t>
      </w:r>
      <w:r/>
    </w:p>
    <w:p>
      <w:pPr>
        <w:spacing w:after="100"/>
        <w:ind w:left="624" w:hanging="624"/>
      </w:pPr>
      <w:r>
        <w:rPr>
          <w:b/>
        </w:rPr>
        <w:t>5.7</w:t>
        <w:tab/>
      </w:r>
      <w:r>
        <w:t>Commission is invoiced monthly in arrears against sales you have confirmed as completed, and is payable within ________ days of invoice.</w:t>
      </w:r>
    </w:p>
    <w:p>
      <w:pPr>
        <w:pStyle w:val="GGH1"/>
      </w:pPr>
      <w:r>
        <w:t>6.  Delivery</w:t>
      </w:r>
    </w:p>
    <w:p>
      <w:pPr>
        <w:spacing w:after="100"/>
        <w:ind w:left="624" w:hanging="624"/>
      </w:pPr>
      <w:r>
        <w:rPr>
          <w:b/>
        </w:rPr>
        <w:t>6.1</w:t>
        <w:tab/>
      </w:r>
      <w:r>
        <w:t>Delivery is arranged and performed by you, at your election, by one of:</w:t>
      </w:r>
    </w:p>
    <w:p>
      <w:pPr>
        <w:spacing w:after="60"/>
        <w:ind w:left="907"/>
      </w:pPr>
      <w:r>
        <w:t>☐   (a)  Your own staff or vehicles, under your own insurance; or</w:t>
      </w:r>
    </w:p>
    <w:p>
      <w:pPr>
        <w:spacing w:after="60"/>
        <w:ind w:left="907"/>
      </w:pPr>
      <w:r>
        <w:t>☐   (b)  An external delivery or courier company appointed by you, insured for the value of the goods.</w:t>
      </w:r>
    </w:p>
    <w:p>
      <w:pPr>
        <w:spacing w:after="100"/>
        <w:ind w:left="624" w:hanging="624"/>
      </w:pPr>
      <w:r>
        <w:rPr>
          <w:b/>
        </w:rPr>
        <w:t>6.2</w:t>
        <w:tab/>
      </w:r>
      <w:r>
        <w:rPr>
          <w:b/>
        </w:rPr>
        <w:t xml:space="preserve">The delivery charge to the customer must not exceed AED 60 (sixty UAE dirhams) per order for deliveries within Dubai, </w:t>
      </w:r>
      <w:r/>
      <w:r>
        <w:t>whichever method you choose. Get Gold displays this charge to the customer and you collect it.</w:t>
      </w:r>
    </w:p>
    <w:p>
      <w:pPr>
        <w:spacing w:after="100"/>
        <w:ind w:left="624" w:hanging="624"/>
      </w:pPr>
      <w:r>
        <w:rPr>
          <w:b/>
        </w:rPr>
        <w:t>6.3</w:t>
        <w:tab/>
      </w:r>
      <w:r>
        <w:t>Deliveries outside Dubai are by separate arrangement and are not covered by clause 6.2.</w:t>
      </w:r>
    </w:p>
    <w:p>
      <w:pPr>
        <w:spacing w:after="100"/>
        <w:ind w:left="624" w:hanging="624"/>
      </w:pPr>
      <w:r>
        <w:rPr>
          <w:b/>
        </w:rPr>
        <w:t>6.4</w:t>
        <w:tab/>
      </w:r>
      <w:r>
        <w:rPr>
          <w:b/>
        </w:rPr>
        <w:t xml:space="preserve">The goods remain at your risk until delivered to the customer.  </w:t>
      </w:r>
      <w:r>
        <w:t>Title and risk pass from you to the customer on delivery. Get Gold never takes possession, custody or title of any goods and is not a carrier, bailee or insurer.</w:t>
      </w:r>
    </w:p>
    <w:p>
      <w:pPr>
        <w:spacing w:after="100"/>
        <w:ind w:left="624" w:hanging="624"/>
      </w:pPr>
      <w:r>
        <w:rPr>
          <w:b/>
        </w:rPr>
        <w:t>6.5</w:t>
        <w:tab/>
      </w:r>
      <w:r>
        <w:t>You are responsible for insuring the goods in transit, whether carried by your own staff or by a company you appoint.</w:t>
      </w:r>
    </w:p>
    <w:p>
      <w:pPr>
        <w:pStyle w:val="GGH1"/>
      </w:pPr>
      <w:r>
        <w:t>7.  Seller of record</w:t>
      </w:r>
    </w:p>
    <w:p>
      <w:pPr>
        <w:spacing w:after="100"/>
        <w:ind w:left="624" w:hanging="624"/>
      </w:pPr>
      <w:r>
        <w:rPr>
          <w:b/>
        </w:rPr>
        <w:t>7.1</w:t>
        <w:tab/>
      </w:r>
      <w:r>
        <w:rPr>
          <w:b/>
        </w:rPr>
        <w:t xml:space="preserve">You are the seller of record on every transaction.  </w:t>
      </w:r>
      <w:r>
        <w:t>The contract of sale is between you and the customer. Get Gold introduces customers and coordinates; it does not buy, sell, hold or take title to gold.</w:t>
      </w:r>
    </w:p>
    <w:p>
      <w:pPr>
        <w:spacing w:after="100"/>
        <w:ind w:left="624" w:hanging="624"/>
      </w:pPr>
      <w:r>
        <w:rPr>
          <w:b/>
        </w:rPr>
        <w:t>7.2</w:t>
        <w:tab/>
      </w:r>
      <w:r>
        <w:t>You are responsible for your own regulatory and AML obligations, including any obligations applicable to dealers in precious metals and stones in the UAE, and for any warranty, refund or consumer-protection obligation arising from your sales.</w:t>
      </w:r>
    </w:p>
    <w:p>
      <w:pPr>
        <w:spacing w:after="100"/>
        <w:ind w:left="624" w:hanging="624"/>
      </w:pPr>
      <w:r>
        <w:rPr>
          <w:b/>
        </w:rPr>
        <w:t>7.3</w:t>
        <w:tab/>
      </w:r>
      <w:r>
        <w:t>You will indemnify Get Gold against any claim arising from the goods you sell, their description, authenticity, quality or delivery.</w:t>
      </w:r>
    </w:p>
    <w:p>
      <w:pPr>
        <w:pStyle w:val="GGH1"/>
      </w:pPr>
      <w:r>
        <w:t>8.  No circumvention  —  BINDING</w:t>
      </w:r>
    </w:p>
    <w:p>
      <w:pPr>
        <w:spacing w:after="100"/>
        <w:ind w:left="624" w:hanging="624"/>
      </w:pPr>
      <w:r>
        <w:rPr>
          <w:b/>
        </w:rPr>
        <w:t>8.1</w:t>
        <w:tab/>
      </w:r>
      <w:r>
        <w:t xml:space="preserve">Where Get Gold introduces a customer to you, </w:t>
      </w:r>
      <w:r>
        <w:rPr>
          <w:b/>
        </w:rPr>
        <w:t>you will not, for twelve (12) months from that introduction, deliberately take that customer’s transaction outside the platform in order to avoid commission that would otherwise be payable.</w:t>
      </w:r>
    </w:p>
    <w:p>
      <w:pPr>
        <w:spacing w:after="100"/>
        <w:ind w:left="624" w:hanging="624"/>
      </w:pPr>
      <w:r>
        <w:rPr>
          <w:b/>
        </w:rPr>
        <w:t>8.2</w:t>
        <w:tab/>
      </w:r>
      <w:r>
        <w:t>This does not restrict you from serving customers who reach you independently, from your walk-in trade, or from your existing customer base.</w:t>
      </w:r>
    </w:p>
    <w:p>
      <w:pPr>
        <w:spacing w:after="100"/>
        <w:ind w:left="624" w:hanging="624"/>
      </w:pPr>
      <w:r>
        <w:rPr>
          <w:b/>
        </w:rPr>
        <w:t>8.3</w:t>
        <w:tab/>
      </w:r>
      <w:r>
        <w:t>This clause is binding and survives expiry of this MOU.</w:t>
      </w:r>
    </w:p>
    <w:p>
      <w:pPr>
        <w:pStyle w:val="GGH1"/>
      </w:pPr>
      <w:r>
        <w:t>9.  Confidentiality  —  BINDING</w:t>
      </w:r>
    </w:p>
    <w:p>
      <w:pPr>
        <w:spacing w:after="100"/>
        <w:ind w:left="624" w:hanging="624"/>
      </w:pPr>
      <w:r>
        <w:rPr>
          <w:b/>
        </w:rPr>
        <w:t>9.1</w:t>
        <w:tab/>
      </w:r>
      <w:r>
        <w:t>Each party will keep the other’s non-public commercial information confidential and use it only for the purposes of this MOU, for two (2) years from disclosure.</w:t>
      </w:r>
    </w:p>
    <w:p>
      <w:pPr>
        <w:spacing w:after="100"/>
        <w:ind w:left="624" w:hanging="624"/>
      </w:pPr>
      <w:r>
        <w:rPr>
          <w:b/>
        </w:rPr>
        <w:t>9.2</w:t>
        <w:tab/>
      </w:r>
      <w:r>
        <w:t>This does not apply to information that is public, already known, or required to be disclosed by law or a regulator.</w:t>
      </w:r>
    </w:p>
    <w:p>
      <w:pPr>
        <w:pStyle w:val="GGH1"/>
      </w:pPr>
      <w:r>
        <w:t>10.  Intellectual property  —  BINDING</w:t>
      </w:r>
    </w:p>
    <w:p>
      <w:pPr>
        <w:spacing w:after="100"/>
        <w:ind w:left="624" w:hanging="624"/>
      </w:pPr>
      <w:r>
        <w:rPr>
          <w:b/>
        </w:rPr>
        <w:t>10.1</w:t>
        <w:tab/>
      </w:r>
      <w:r>
        <w:t>Get Gold owns the platform, its software, brand, design and all data it generates, including listing pages, pricing displays and any photography Get Gold produces.</w:t>
      </w:r>
    </w:p>
    <w:p>
      <w:pPr>
        <w:spacing w:after="100"/>
        <w:ind w:left="624" w:hanging="624"/>
      </w:pPr>
      <w:r>
        <w:rPr>
          <w:b/>
        </w:rPr>
        <w:t>10.2</w:t>
        <w:tab/>
      </w:r>
      <w:r>
        <w:t>You keep ownership of your own trademarks, product designs and any images you supply, and you grant Get Gold a non-exclusive, royalty-free licence to use your business name, logo and product images to list and market your products for the term of this MOU.</w:t>
      </w:r>
    </w:p>
    <w:p>
      <w:pPr>
        <w:pStyle w:val="GGH1"/>
      </w:pPr>
      <w:r>
        <w:t>11.  Ending this MOU, suspension and removal of listings</w:t>
      </w:r>
    </w:p>
    <w:p>
      <w:pPr>
        <w:spacing w:after="100"/>
        <w:ind w:left="624" w:hanging="624"/>
      </w:pPr>
      <w:r>
        <w:rPr>
          <w:b/>
        </w:rPr>
        <w:t>11.1</w:t>
        <w:tab/>
      </w:r>
      <w:r>
        <w:rPr>
          <w:b/>
        </w:rPr>
        <w:t xml:space="preserve">Get Gold may end this MOU at any time, with immediate effect, for any reason or for no reason, </w:t>
      </w:r>
      <w:r/>
      <w:r>
        <w:t>by written notice to you. Written notice includes email or WhatsApp to the contact details in Schedule 1.</w:t>
      </w:r>
    </w:p>
    <w:p>
      <w:pPr>
        <w:spacing w:after="100"/>
        <w:ind w:left="624" w:hanging="624"/>
      </w:pPr>
      <w:r>
        <w:rPr>
          <w:b/>
        </w:rPr>
        <w:t>11.2</w:t>
        <w:tab/>
      </w:r>
      <w:r>
        <w:t>You may end this MOU at any time, with immediate effect, by written notice to Get Gold.</w:t>
      </w:r>
    </w:p>
    <w:p>
      <w:pPr>
        <w:spacing w:after="100"/>
        <w:ind w:left="624" w:hanging="624"/>
      </w:pPr>
      <w:r>
        <w:rPr>
          <w:b/>
        </w:rPr>
        <w:t>11.3</w:t>
        <w:tab/>
      </w:r>
      <w:r>
        <w:rPr>
          <w:b/>
        </w:rPr>
        <w:t>Get Gold may at any time, without ending this MOU, and at its sole discretion:</w:t>
      </w:r>
      <w:r/>
    </w:p>
    <w:p>
      <w:pPr>
        <w:spacing w:after="60"/>
        <w:ind w:left="907"/>
      </w:pPr>
      <w:r>
        <w:t>(a)  remove, edit, suspend or decline to publish any listing;</w:t>
      </w:r>
    </w:p>
    <w:p>
      <w:pPr>
        <w:spacing w:after="60"/>
        <w:ind w:left="907"/>
      </w:pPr>
      <w:r>
        <w:t>(b)  suspend your account temporarily; or</w:t>
      </w:r>
    </w:p>
    <w:p>
      <w:pPr>
        <w:spacing w:after="60"/>
        <w:ind w:left="907"/>
      </w:pPr>
      <w:r>
        <w:t>(c)  decline to pass you any particular customer reservation.</w:t>
      </w:r>
    </w:p>
    <w:p>
      <w:pPr>
        <w:spacing w:after="100"/>
        <w:ind w:left="624" w:hanging="624"/>
      </w:pPr>
      <w:r>
        <w:rPr>
          <w:b/>
        </w:rPr>
        <w:t>11.4</w:t>
        <w:tab/>
      </w:r>
      <w:r>
        <w:t>Get Gold will normally give reasons, but is not obliged to, and is not liable to you for any loss of sales, profit or opportunity arising from any action under clauses 11.1 or 11.3.</w:t>
      </w:r>
    </w:p>
    <w:p>
      <w:pPr>
        <w:spacing w:after="100"/>
        <w:ind w:left="624" w:hanging="624"/>
      </w:pPr>
      <w:r>
        <w:rPr>
          <w:b/>
        </w:rPr>
        <w:t>11.5</w:t>
        <w:tab/>
      </w:r>
      <w:r>
        <w:rPr>
          <w:b/>
        </w:rPr>
        <w:t xml:space="preserve">Immediate suspension for cause.  </w:t>
      </w:r>
      <w:r>
        <w:t>Without limiting the above, Get Gold may suspend you immediately if it reasonably believes that goods are not as described or not authentic, that a reserved price has not been honoured, that your trade licence has lapsed, or that any applicable law has been broken.</w:t>
      </w:r>
    </w:p>
    <w:p>
      <w:pPr>
        <w:spacing w:after="100"/>
        <w:ind w:left="624" w:hanging="624"/>
      </w:pPr>
      <w:r>
        <w:rPr>
          <w:b/>
        </w:rPr>
        <w:t>11.6</w:t>
        <w:tab/>
      </w:r>
      <w:r>
        <w:rPr>
          <w:b/>
        </w:rPr>
        <w:t xml:space="preserve">On termination:  </w:t>
      </w:r>
      <w:r>
        <w:t>Get Gold removes your listings; you honour any reservation a customer has already made and you have already confirmed, or refund the customer in full; and you settle any commission properly invoiced and outstanding. Clauses 8, 9, 10, 12 and 14 survive.</w:t>
      </w:r>
    </w:p>
    <w:p>
      <w:pPr>
        <w:spacing w:after="100"/>
        <w:ind w:left="624" w:hanging="624"/>
      </w:pPr>
      <w:r>
        <w:rPr>
          <w:b/>
        </w:rPr>
        <w:t>11.7</w:t>
        <w:tab/>
      </w:r>
      <w:r>
        <w:t>Neither party owes the other any compensation, penalty or payment merely for ending this MOU.</w:t>
      </w:r>
    </w:p>
    <w:p>
      <w:pPr>
        <w:pStyle w:val="GGH1"/>
      </w:pPr>
      <w:r>
        <w:t>12.  Assignment  —  BINDING</w:t>
      </w:r>
    </w:p>
    <w:p>
      <w:pPr>
        <w:spacing w:after="100"/>
        <w:ind w:left="624" w:hanging="624"/>
      </w:pPr>
      <w:r>
        <w:rPr>
          <w:b/>
        </w:rPr>
        <w:t>12.1</w:t>
        <w:tab/>
      </w:r>
      <w:r>
        <w:rPr>
          <w:b/>
        </w:rPr>
        <w:t xml:space="preserve">Get Gold may assign this MOU, and all rights and obligations under it, to a UAE company incorporated by Mohamed Amer to operate the Get Gold platform, without needing your further consent. </w:t>
      </w:r>
      <w:r/>
      <w:r>
        <w:t>You agree that on such assignment that company replaces Mohamed Amer as a party.</w:t>
      </w:r>
    </w:p>
    <w:p>
      <w:pPr>
        <w:spacing w:after="100"/>
        <w:ind w:left="624" w:hanging="624"/>
      </w:pPr>
      <w:r>
        <w:rPr>
          <w:b/>
        </w:rPr>
        <w:t>12.2</w:t>
        <w:tab/>
      </w:r>
      <w:r>
        <w:t>You may not assign this MOU without Get Gold’s written consent.</w:t>
      </w:r>
    </w:p>
    <w:p>
      <w:pPr>
        <w:pStyle w:val="GGH1"/>
      </w:pPr>
      <w:r>
        <w:t>13.  Non-exclusive</w:t>
      </w:r>
    </w:p>
    <w:p>
      <w:pPr>
        <w:spacing w:after="100"/>
        <w:ind w:left="624" w:hanging="624"/>
      </w:pPr>
      <w:r>
        <w:rPr>
          <w:b/>
        </w:rPr>
        <w:t>13.1</w:t>
        <w:tab/>
      </w:r>
      <w:r>
        <w:t>This arrangement is non-exclusive on both sides. Get Gold may work with any number of other vendors, including your competitors. You may sell through any other channel, platform or premises.</w:t>
      </w:r>
    </w:p>
    <w:p>
      <w:pPr>
        <w:pStyle w:val="GGH1"/>
      </w:pPr>
      <w:r>
        <w:t>14.  Governing law  —  BINDING</w:t>
      </w:r>
    </w:p>
    <w:p>
      <w:pPr>
        <w:spacing w:after="100"/>
        <w:ind w:left="624" w:hanging="624"/>
      </w:pPr>
      <w:r>
        <w:rPr>
          <w:b/>
        </w:rPr>
        <w:t>14.1</w:t>
        <w:tab/>
      </w:r>
      <w:r>
        <w:t>This MOU is governed by the laws of the United Arab Emirates as applied in the Emirate of Dubai, and the parties submit to the non-exclusive jurisdiction of the Dubai Courts.</w:t>
      </w:r>
    </w:p>
    <w:p>
      <w:pPr>
        <w:spacing w:after="100"/>
        <w:ind w:left="624" w:hanging="624"/>
      </w:pPr>
      <w:r>
        <w:rPr>
          <w:b/>
        </w:rPr>
        <w:t>14.2</w:t>
        <w:tab/>
      </w:r>
      <w:r>
        <w:t>If this document is executed in English and Arabic and there is any conflict between them, the Arabic version prevails.</w:t>
      </w:r>
    </w:p>
    <w:p>
      <w:r>
        <w:br w:type="page"/>
      </w:r>
    </w:p>
    <w:p>
      <w:pPr>
        <w:pStyle w:val="GGH1"/>
      </w:pPr>
      <w:r>
        <w:t>SCHEDULE 1  —  VENDOR DETAILS</w:t>
      </w:r>
    </w:p>
    <w:tbl>
      <w:tblPr>
        <w:tblStyle w:val="TableGrid"/>
        <w:tblW w:type="auto" w:w="0"/>
        <w:tblLook w:firstColumn="1" w:firstRow="1" w:lastColumn="0" w:lastRow="0" w:noHBand="0" w:noVBand="1" w:val="04A0"/>
      </w:tblPr>
      <w:tblGrid>
        <w:gridCol w:w="4706"/>
        <w:gridCol w:w="4706"/>
      </w:tblGrid>
      <w:tr>
        <w:trPr>
          <w:trHeight w:val="482"/>
        </w:trPr>
        <w:tc>
          <w:tcPr>
            <w:tcW w:type="dxa" w:w="3628"/>
          </w:tcPr>
          <w:p>
            <w:r>
              <w:rPr>
                <w:b/>
                <w:sz w:val="20"/>
              </w:rPr>
              <w:t>Business name</w:t>
            </w:r>
          </w:p>
        </w:tc>
        <w:tc>
          <w:tcPr>
            <w:tcW w:type="dxa" w:w="5783"/>
          </w:tcPr>
          <w:p/>
        </w:tc>
      </w:tr>
      <w:tr>
        <w:trPr>
          <w:trHeight w:val="482"/>
        </w:trPr>
        <w:tc>
          <w:tcPr>
            <w:tcW w:type="dxa" w:w="3628"/>
          </w:tcPr>
          <w:p>
            <w:r>
              <w:rPr>
                <w:b/>
                <w:sz w:val="20"/>
              </w:rPr>
              <w:t>Trade licence number</w:t>
            </w:r>
          </w:p>
        </w:tc>
        <w:tc>
          <w:tcPr>
            <w:tcW w:type="dxa" w:w="5783"/>
          </w:tcPr>
          <w:p/>
        </w:tc>
      </w:tr>
      <w:tr>
        <w:trPr>
          <w:trHeight w:val="482"/>
        </w:trPr>
        <w:tc>
          <w:tcPr>
            <w:tcW w:type="dxa" w:w="3628"/>
          </w:tcPr>
          <w:p>
            <w:r>
              <w:rPr>
                <w:b/>
                <w:sz w:val="20"/>
              </w:rPr>
              <w:t>Licence expiry</w:t>
            </w:r>
          </w:p>
        </w:tc>
        <w:tc>
          <w:tcPr>
            <w:tcW w:type="dxa" w:w="5783"/>
          </w:tcPr>
          <w:p/>
        </w:tc>
      </w:tr>
      <w:tr>
        <w:trPr>
          <w:trHeight w:val="482"/>
        </w:trPr>
        <w:tc>
          <w:tcPr>
            <w:tcW w:type="dxa" w:w="3628"/>
          </w:tcPr>
          <w:p>
            <w:r>
              <w:rPr>
                <w:b/>
                <w:sz w:val="20"/>
              </w:rPr>
              <w:t>Emirate</w:t>
            </w:r>
          </w:p>
        </w:tc>
        <w:tc>
          <w:tcPr>
            <w:tcW w:type="dxa" w:w="5783"/>
          </w:tcPr>
          <w:p/>
        </w:tc>
      </w:tr>
      <w:tr>
        <w:trPr>
          <w:trHeight w:val="482"/>
        </w:trPr>
        <w:tc>
          <w:tcPr>
            <w:tcW w:type="dxa" w:w="3628"/>
          </w:tcPr>
          <w:p>
            <w:r>
              <w:rPr>
                <w:b/>
                <w:sz w:val="20"/>
              </w:rPr>
              <w:t>Store address</w:t>
            </w:r>
          </w:p>
        </w:tc>
        <w:tc>
          <w:tcPr>
            <w:tcW w:type="dxa" w:w="5783"/>
          </w:tcPr>
          <w:p/>
        </w:tc>
      </w:tr>
      <w:tr>
        <w:trPr>
          <w:trHeight w:val="482"/>
        </w:trPr>
        <w:tc>
          <w:tcPr>
            <w:tcW w:type="dxa" w:w="3628"/>
          </w:tcPr>
          <w:p>
            <w:r>
              <w:rPr>
                <w:b/>
                <w:sz w:val="20"/>
              </w:rPr>
              <w:t>Contact name</w:t>
            </w:r>
          </w:p>
        </w:tc>
        <w:tc>
          <w:tcPr>
            <w:tcW w:type="dxa" w:w="5783"/>
          </w:tcPr>
          <w:p/>
        </w:tc>
      </w:tr>
      <w:tr>
        <w:trPr>
          <w:trHeight w:val="482"/>
        </w:trPr>
        <w:tc>
          <w:tcPr>
            <w:tcW w:type="dxa" w:w="3628"/>
          </w:tcPr>
          <w:p>
            <w:r>
              <w:rPr>
                <w:b/>
                <w:sz w:val="20"/>
              </w:rPr>
              <w:t>Mobile / WhatsApp</w:t>
            </w:r>
          </w:p>
        </w:tc>
        <w:tc>
          <w:tcPr>
            <w:tcW w:type="dxa" w:w="5783"/>
          </w:tcPr>
          <w:p/>
        </w:tc>
      </w:tr>
      <w:tr>
        <w:trPr>
          <w:trHeight w:val="482"/>
        </w:trPr>
        <w:tc>
          <w:tcPr>
            <w:tcW w:type="dxa" w:w="3628"/>
          </w:tcPr>
          <w:p>
            <w:r>
              <w:rPr>
                <w:b/>
                <w:sz w:val="20"/>
              </w:rPr>
              <w:t>Email</w:t>
            </w:r>
          </w:p>
        </w:tc>
        <w:tc>
          <w:tcPr>
            <w:tcW w:type="dxa" w:w="5783"/>
          </w:tcPr>
          <w:p/>
        </w:tc>
      </w:tr>
      <w:tr>
        <w:trPr>
          <w:trHeight w:val="482"/>
        </w:trPr>
        <w:tc>
          <w:tcPr>
            <w:tcW w:type="dxa" w:w="3628"/>
          </w:tcPr>
          <w:p>
            <w:r>
              <w:rPr>
                <w:b/>
                <w:sz w:val="20"/>
              </w:rPr>
              <w:t>VAT TRN (if registered)</w:t>
            </w:r>
          </w:p>
        </w:tc>
        <w:tc>
          <w:tcPr>
            <w:tcW w:type="dxa" w:w="5783"/>
          </w:tcPr>
          <w:p/>
        </w:tc>
      </w:tr>
      <w:tr>
        <w:trPr>
          <w:trHeight w:val="482"/>
        </w:trPr>
        <w:tc>
          <w:tcPr>
            <w:tcW w:type="dxa" w:w="3628"/>
          </w:tcPr>
          <w:p>
            <w:r>
              <w:rPr>
                <w:b/>
                <w:sz w:val="20"/>
              </w:rPr>
              <w:t>Categories to list</w:t>
            </w:r>
          </w:p>
        </w:tc>
        <w:tc>
          <w:tcPr>
            <w:tcW w:type="dxa" w:w="5783"/>
          </w:tcPr>
          <w:p/>
        </w:tc>
      </w:tr>
      <w:tr>
        <w:trPr>
          <w:trHeight w:val="482"/>
        </w:trPr>
        <w:tc>
          <w:tcPr>
            <w:tcW w:type="dxa" w:w="3628"/>
          </w:tcPr>
          <w:p>
            <w:r>
              <w:rPr>
                <w:b/>
                <w:sz w:val="20"/>
              </w:rPr>
              <w:t>Approx. number of items at launch</w:t>
            </w:r>
          </w:p>
        </w:tc>
        <w:tc>
          <w:tcPr>
            <w:tcW w:type="dxa" w:w="5783"/>
          </w:tcPr>
          <w:p/>
        </w:tc>
      </w:tr>
      <w:tr>
        <w:trPr>
          <w:trHeight w:val="482"/>
        </w:trPr>
        <w:tc>
          <w:tcPr>
            <w:tcW w:type="dxa" w:w="3628"/>
          </w:tcPr>
          <w:p>
            <w:r>
              <w:rPr>
                <w:b/>
                <w:sz w:val="20"/>
              </w:rPr>
              <w:t>Delivery method (clause 6.1)</w:t>
            </w:r>
          </w:p>
        </w:tc>
        <w:tc>
          <w:tcPr>
            <w:tcW w:type="dxa" w:w="5783"/>
          </w:tcPr>
          <w:p>
            <w:r>
              <w:t>☐  Own staff          ☐  External company:  ______________________</w:t>
            </w:r>
          </w:p>
        </w:tc>
      </w:tr>
      <w:tr>
        <w:trPr>
          <w:trHeight w:val="482"/>
        </w:trPr>
        <w:tc>
          <w:tcPr>
            <w:tcW w:type="dxa" w:w="3628"/>
          </w:tcPr>
          <w:p>
            <w:r>
              <w:rPr>
                <w:b/>
                <w:sz w:val="20"/>
              </w:rPr>
              <w:t>Areas you will deliver to</w:t>
            </w:r>
          </w:p>
        </w:tc>
        <w:tc>
          <w:tcPr>
            <w:tcW w:type="dxa" w:w="5783"/>
          </w:tcPr>
          <w:p/>
        </w:tc>
      </w:tr>
      <w:tr>
        <w:trPr>
          <w:trHeight w:val="482"/>
        </w:trPr>
        <w:tc>
          <w:tcPr>
            <w:tcW w:type="dxa" w:w="3628"/>
          </w:tcPr>
          <w:p>
            <w:r>
              <w:rPr>
                <w:b/>
                <w:sz w:val="20"/>
              </w:rPr>
              <w:t>Reservation response time (clause 4.4)</w:t>
            </w:r>
          </w:p>
        </w:tc>
        <w:tc>
          <w:tcPr>
            <w:tcW w:type="dxa" w:w="5783"/>
          </w:tcPr>
          <w:p>
            <w:r>
              <w:t>________ hours</w:t>
            </w:r>
          </w:p>
        </w:tc>
      </w:tr>
    </w:tbl>
    <w:p>
      <w:pPr>
        <w:spacing w:after="280"/>
      </w:pPr>
      <w:r/>
    </w:p>
    <w:p>
      <w:pPr>
        <w:pStyle w:val="GGH1"/>
      </w:pPr>
      <w:r>
        <w:t>SIGNED</w:t>
      </w:r>
    </w:p>
    <w:tbl>
      <w:tblPr>
        <w:tblW w:type="auto" w:w="0"/>
        <w:tblLayout w:type="autofit"/>
        <w:tblLook w:firstColumn="1" w:firstRow="1" w:lastColumn="0" w:lastRow="0" w:noHBand="0" w:noVBand="1" w:val="04A0"/>
      </w:tblPr>
      <w:tblGrid>
        <w:gridCol w:w="4706"/>
        <w:gridCol w:w="4706"/>
      </w:tblGrid>
      <w:tr>
        <w:tc>
          <w:tcPr>
            <w:tcW w:type="dxa" w:w="4706"/>
          </w:tcPr>
          <w:p>
            <w:r/>
            <w:r>
              <w:rPr>
                <w:b/>
                <w:sz w:val="21"/>
              </w:rPr>
              <w:t>For Get Gold</w:t>
            </w:r>
          </w:p>
          <w:p>
            <w:r>
              <w:rPr>
                <w:color w:val="5B5B5F"/>
                <w:sz w:val="17"/>
              </w:rPr>
              <w:t>Mohamed Amer, for himself and for a company to be incorporated</w:t>
            </w:r>
          </w:p>
          <w:p>
            <w:pPr>
              <w:spacing w:after="140"/>
            </w:pPr>
          </w:p>
          <w:p>
            <w:pPr>
              <w:spacing w:after="140"/>
            </w:pPr>
            <w:r>
              <w:rPr>
                <w:sz w:val="20"/>
              </w:rPr>
              <w:t>Signature:  ____________________</w:t>
            </w:r>
          </w:p>
          <w:p>
            <w:pPr>
              <w:spacing w:after="140"/>
            </w:pPr>
            <w:r>
              <w:rPr>
                <w:sz w:val="20"/>
              </w:rPr>
              <w:t>Name:  ________________________</w:t>
            </w:r>
          </w:p>
          <w:p>
            <w:pPr>
              <w:spacing w:after="140"/>
            </w:pPr>
            <w:r>
              <w:rPr>
                <w:sz w:val="20"/>
              </w:rPr>
              <w:t>Position:  _____________________</w:t>
            </w:r>
          </w:p>
          <w:p>
            <w:pPr>
              <w:spacing w:after="140"/>
            </w:pPr>
            <w:r>
              <w:rPr>
                <w:sz w:val="20"/>
              </w:rPr>
              <w:t>Date:  _________________________</w:t>
            </w:r>
          </w:p>
        </w:tc>
        <w:tc>
          <w:tcPr>
            <w:tcW w:type="dxa" w:w="4706"/>
          </w:tcPr>
          <w:p>
            <w:r/>
            <w:r>
              <w:rPr>
                <w:b/>
                <w:sz w:val="21"/>
              </w:rPr>
              <w:t>For the Vendor</w:t>
            </w:r>
          </w:p>
          <w:p>
            <w:r>
              <w:rPr>
                <w:color w:val="5B5B5F"/>
                <w:sz w:val="17"/>
              </w:rPr>
              <w:t>Authorised signatory  ·  company stamp</w:t>
            </w:r>
          </w:p>
          <w:p>
            <w:pPr>
              <w:spacing w:after="140"/>
            </w:pPr>
          </w:p>
          <w:p>
            <w:pPr>
              <w:spacing w:after="140"/>
            </w:pPr>
            <w:r>
              <w:rPr>
                <w:sz w:val="20"/>
              </w:rPr>
              <w:t>Signature:  ____________________</w:t>
            </w:r>
          </w:p>
          <w:p>
            <w:pPr>
              <w:spacing w:after="140"/>
            </w:pPr>
            <w:r>
              <w:rPr>
                <w:sz w:val="20"/>
              </w:rPr>
              <w:t>Name:  ________________________</w:t>
            </w:r>
          </w:p>
          <w:p>
            <w:pPr>
              <w:spacing w:after="140"/>
            </w:pPr>
            <w:r>
              <w:rPr>
                <w:sz w:val="20"/>
              </w:rPr>
              <w:t>Position:  _____________________</w:t>
            </w:r>
          </w:p>
          <w:p>
            <w:pPr>
              <w:spacing w:after="140"/>
            </w:pPr>
            <w:r>
              <w:rPr>
                <w:sz w:val="20"/>
              </w:rPr>
              <w:t>Date:  _________________________</w:t>
            </w:r>
          </w:p>
        </w:tc>
      </w:tr>
    </w:tbl>
    <w:p>
      <w:pPr>
        <w:spacing w:after="120"/>
      </w:pPr>
      <w:r/>
    </w:p>
    <w:p>
      <w:pPr>
        <w:pStyle w:val="GGFoot"/>
      </w:pPr>
      <w:r>
        <w:t>This Memorandum of Understanding is a pre-agreement. Except where a clause is marked BINDING, it does not create legally enforceable obligations. Both parties are advised to take independent legal advice before signing.</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A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GTitle">
    <w:name w:val="GG Title"/>
    <w:basedOn w:val="Normal"/>
    <w:pPr>
      <w:keepNext/>
      <w:spacing w:before="0" w:after="40"/>
    </w:pPr>
    <w:rPr>
      <w:rFonts w:ascii="Calibri" w:hAnsi="Calibri"/>
      <w:b/>
      <w:color w:val="1A1A1C"/>
      <w:sz w:val="40"/>
    </w:rPr>
  </w:style>
  <w:style w:type="paragraph" w:customStyle="1" w:styleId="GGSub">
    <w:name w:val="GG Sub"/>
    <w:basedOn w:val="Normal"/>
    <w:pPr>
      <w:keepNext/>
      <w:spacing w:before="0" w:after="280"/>
    </w:pPr>
    <w:rPr>
      <w:rFonts w:ascii="Calibri" w:hAnsi="Calibri"/>
      <w:b w:val="0"/>
      <w:color w:val="5B5B5F"/>
      <w:sz w:val="21"/>
    </w:rPr>
  </w:style>
  <w:style w:type="paragraph" w:customStyle="1" w:styleId="GGH1">
    <w:name w:val="GG H1"/>
    <w:basedOn w:val="Normal"/>
    <w:pPr>
      <w:keepNext/>
      <w:spacing w:before="280" w:after="100"/>
    </w:pPr>
    <w:rPr>
      <w:rFonts w:ascii="Calibri" w:hAnsi="Calibri"/>
      <w:b/>
      <w:caps/>
      <w:color w:val="A98220"/>
      <w:sz w:val="24"/>
    </w:rPr>
  </w:style>
  <w:style w:type="paragraph" w:customStyle="1" w:styleId="GGParty">
    <w:name w:val="GG Party"/>
    <w:basedOn w:val="Normal"/>
    <w:pPr>
      <w:keepNext/>
      <w:spacing w:before="0" w:after="160"/>
    </w:pPr>
    <w:rPr>
      <w:rFonts w:ascii="Calibri" w:hAnsi="Calibri"/>
      <w:b w:val="0"/>
      <w:color w:val="1A1A1C"/>
      <w:sz w:val="21"/>
    </w:rPr>
  </w:style>
  <w:style w:type="paragraph" w:customStyle="1" w:styleId="GGFoot">
    <w:name w:val="GG Foot"/>
    <w:basedOn w:val="Normal"/>
    <w:pPr>
      <w:keepNext/>
      <w:spacing w:before="200" w:after="0"/>
    </w:pPr>
    <w:rPr>
      <w:rFonts w:ascii="Calibri" w:hAnsi="Calibri"/>
      <w:b w:val="0"/>
      <w:color w:val="5B5B5F"/>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