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2" w:name="net-monit-v10.6-admin-guide"/>
    <w:p>
      <w:pPr>
        <w:pStyle w:val="Heading1"/>
      </w:pPr>
      <w:r>
        <w:t xml:space="preserve">Net-monit V10.6 — Admin Guide</w:t>
      </w:r>
    </w:p>
    <w:p>
      <w:pPr>
        <w:pStyle w:val="FirstParagraph"/>
      </w:pPr>
      <w:r>
        <w:t xml:space="preserve">This guide covers day-to-day administration: configuring alerts, adding monitored devices/services, managing users, and using the Admin panel. For installation, see the Setup Guide. For a plain end-user walkthrough of the dashboard, see the User Guide.</w:t>
      </w:r>
    </w:p>
    <w:bookmarkStart w:id="20" w:name="signing-in"/>
    <w:p>
      <w:pPr>
        <w:pStyle w:val="Heading2"/>
      </w:pPr>
      <w:r>
        <w:t xml:space="preserve">1. Signing in</w:t>
      </w:r>
    </w:p>
    <w:p>
      <w:pPr>
        <w:pStyle w:val="FirstParagraph"/>
      </w:pPr>
      <w:r>
        <w:t xml:space="preserve">Log in with your admin account at</w:t>
      </w:r>
      <w:r>
        <w:t xml:space="preserve"> </w:t>
      </w:r>
      <w:r>
        <w:rPr>
          <w:rStyle w:val="VerbatimChar"/>
        </w:rPr>
        <w:t xml:space="preserve">http://&lt;server&gt;:50106</w:t>
      </w:r>
      <w:r>
        <w:t xml:space="preserve">. Admin accounts can see the Admin panel (top nav) and every Settings tab; regular user accounts see the dashboard and monitoring pages but not user management or SMTP/escalation configuration.</w:t>
      </w:r>
    </w:p>
    <w:bookmarkEnd w:id="20"/>
    <w:bookmarkStart w:id="21" w:name="adding-devices-to-monitor"/>
    <w:p>
      <w:pPr>
        <w:pStyle w:val="Heading2"/>
      </w:pPr>
      <w:r>
        <w:t xml:space="preserve">2. Adding devices to monitor</w:t>
      </w:r>
    </w:p>
    <w:p>
      <w:pPr>
        <w:pStyle w:val="FirstParagraph"/>
      </w:pPr>
      <w:r>
        <w:rPr>
          <w:bCs/>
          <w:b/>
        </w:rPr>
        <w:t xml:space="preserve">Devices page</w:t>
      </w:r>
      <w:r>
        <w:t xml:space="preserve"> </w:t>
      </w:r>
      <w:r>
        <w:t xml:space="preserve">(network hardware and servers):</w:t>
      </w:r>
      <w:r>
        <w:t xml:space="preserve"> </w:t>
      </w:r>
      <w:r>
        <w:t xml:space="preserve">1. Click</w:t>
      </w:r>
      <w:r>
        <w:t xml:space="preserve"> </w:t>
      </w:r>
      <w:r>
        <w:rPr>
          <w:bCs/>
          <w:b/>
        </w:rPr>
        <w:t xml:space="preserve">Add Device</w:t>
      </w:r>
      <w:r>
        <w:t xml:space="preserve">.</w:t>
      </w:r>
      <w:r>
        <w:t xml:space="preserve"> </w:t>
      </w:r>
      <w:r>
        <w:t xml:space="preserve">2. Give it an ID, name, and host (IP or hostname).</w:t>
      </w:r>
      <w:r>
        <w:t xml:space="preserve"> </w:t>
      </w:r>
      <w:r>
        <w:t xml:space="preserve">3. Pick a</w:t>
      </w:r>
      <w:r>
        <w:t xml:space="preserve"> </w:t>
      </w:r>
      <w:r>
        <w:rPr>
          <w:bCs/>
          <w:b/>
        </w:rPr>
        <w:t xml:space="preserve">method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Ping</w:t>
      </w:r>
      <w:r>
        <w:t xml:space="preserve"> </w:t>
      </w:r>
      <w:r>
        <w:t xml:space="preserve">— simple reachability + latency + packet loss. No credentials needed.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SNMP</w:t>
      </w:r>
      <w:r>
        <w:t xml:space="preserve"> </w:t>
      </w:r>
      <w:r>
        <w:t xml:space="preserve">— for switches/routers/printers that expose SNMP. Needs a community string.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PowerShell</w:t>
      </w:r>
      <w:r>
        <w:t xml:space="preserve"> </w:t>
      </w:r>
      <w:r>
        <w:t xml:space="preserve">— for Windows servers: CPU/memory/disk usage, over WinRM. Needs a Windows username/password with remote-management rights on the target, and</w:t>
      </w:r>
      <w:r>
        <w:t xml:space="preserve"> </w:t>
      </w:r>
      <w:r>
        <w:t xml:space="preserve">“</w:t>
      </w:r>
      <w:r>
        <w:t xml:space="preserve">Remote</w:t>
      </w:r>
      <w:r>
        <w:t xml:space="preserve">”</w:t>
      </w:r>
      <w:r>
        <w:t xml:space="preserve"> </w:t>
      </w:r>
      <w:r>
        <w:t xml:space="preserve">checked if this isn’t the machine Net-monit itself runs on.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SSH</w:t>
      </w:r>
      <w:r>
        <w:t xml:space="preserve"> </w:t>
      </w:r>
      <w:r>
        <w:t xml:space="preserve">— the Linux equivalent of PowerShell: CPU/memory/disk over an SSH connection. Needs a username + password or private key path.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Shared drive</w:t>
      </w:r>
      <w:r>
        <w:t xml:space="preserve"> </w:t>
      </w:r>
      <w:r>
        <w:t xml:space="preserve">— free-space monitoring on a Windows UNC path or a Linux mount point.</w:t>
      </w:r>
      <w:r>
        <w:t xml:space="preserve"> </w:t>
      </w:r>
      <w:r>
        <w:t xml:space="preserve">4.</w:t>
      </w:r>
      <w:r>
        <w:t xml:space="preserve"> </w:t>
      </w:r>
      <w:r>
        <w:rPr>
          <w:bCs/>
          <w:b/>
        </w:rPr>
        <w:t xml:space="preserve">New in V8.2 — Watch services / scheduled tasks:</w:t>
      </w:r>
      <w:r>
        <w:t xml:space="preserve"> </w:t>
      </w:r>
      <w:r>
        <w:t xml:space="preserve">if you picked SSH or PowerShell, an extra section appears letting you list service names (Windows: as shown in</w:t>
      </w:r>
      <w:r>
        <w:t xml:space="preserve"> </w:t>
      </w:r>
      <w:r>
        <w:rPr>
          <w:rStyle w:val="VerbatimChar"/>
        </w:rPr>
        <w:t xml:space="preserve">services.msc</w:t>
      </w:r>
      <w:r>
        <w:t xml:space="preserve">, e.g. </w:t>
      </w:r>
      <w:r>
        <w:rPr>
          <w:rStyle w:val="VerbatimChar"/>
        </w:rPr>
        <w:t xml:space="preserve">Spooler</w:t>
      </w:r>
      <w:r>
        <w:t xml:space="preserve">; Linux: systemd unit names, e.g. </w:t>
      </w:r>
      <w:r>
        <w:rPr>
          <w:rStyle w:val="VerbatimChar"/>
        </w:rPr>
        <w:t xml:space="preserve">nginx</w:t>
      </w:r>
      <w:r>
        <w:t xml:space="preserve">) and/or scheduled task names (Windows: full Task Scheduler path, e.g. </w:t>
      </w:r>
      <w:r>
        <w:rPr>
          <w:rStyle w:val="VerbatimChar"/>
        </w:rPr>
        <w:t xml:space="preserve">\Backup\NightlyBackup</w:t>
      </w:r>
      <w:r>
        <w:t xml:space="preserve">; Linux: systemd timer name) to watch on that same host. This reuses the SSH/PowerShell credentials you already entered above — no separate login needed.</w:t>
      </w:r>
      <w:r>
        <w:t xml:space="preserve"> </w:t>
      </w:r>
      <w:r>
        <w:rPr>
          <w:bCs/>
          <w:b/>
        </w:rPr>
        <w:t xml:space="preserve">Any single watched service or task that’s stopped/failed marks the whole device Critical.</w:t>
      </w:r>
      <w:r>
        <w:t xml:space="preserve"> </w:t>
      </w:r>
      <w:r>
        <w:t xml:space="preserve">This is only offered for SSH/PowerShell devices, since those are the only methods with a credential path to actually query the host’s services/tasks.</w:t>
      </w:r>
      <w:r>
        <w:t xml:space="preserve"> </w:t>
      </w:r>
      <w:r>
        <w:t xml:space="preserve">5. Click</w:t>
      </w:r>
      <w:r>
        <w:t xml:space="preserve"> </w:t>
      </w:r>
      <w:r>
        <w:rPr>
          <w:bCs/>
          <w:b/>
        </w:rPr>
        <w:t xml:space="preserve">Test</w:t>
      </w:r>
      <w:r>
        <w:t xml:space="preserve"> </w:t>
      </w:r>
      <w:r>
        <w:t xml:space="preserve">before saving to confirm the connection and credentials actually work.</w:t>
      </w:r>
      <w:r>
        <w:t xml:space="preserve"> </w:t>
      </w:r>
      <w:r>
        <w:t xml:space="preserve">6. Save.</w:t>
      </w:r>
    </w:p>
    <w:p>
      <w:pPr>
        <w:pStyle w:val="BodyText"/>
      </w:pPr>
      <w:r>
        <w:rPr>
          <w:bCs/>
          <w:b/>
        </w:rPr>
        <w:t xml:space="preserve">Sites Monitor page</w:t>
      </w:r>
      <w:r>
        <w:t xml:space="preserve"> </w:t>
      </w:r>
      <w:r>
        <w:t xml:space="preserve">(URLs / web applications):</w:t>
      </w:r>
      <w:r>
        <w:t xml:space="preserve"> </w:t>
      </w:r>
      <w:r>
        <w:t xml:space="preserve">1. Go to</w:t>
      </w:r>
      <w:r>
        <w:t xml:space="preserve"> </w:t>
      </w:r>
      <w:r>
        <w:rPr>
          <w:bCs/>
          <w:b/>
        </w:rPr>
        <w:t xml:space="preserve">Sites Monitor</w:t>
      </w:r>
      <w:r>
        <w:t xml:space="preserve"> </w:t>
      </w:r>
      <w:r>
        <w:t xml:space="preserve">(separate from the Devices page — URLs and network devices are managed on their own dedicated pages).</w:t>
      </w:r>
      <w:r>
        <w:t xml:space="preserve"> </w:t>
      </w:r>
      <w:r>
        <w:t xml:space="preserve">2. Add a URL, expected HTTP status (default 200), and whether to verify the SSL certificate.</w:t>
      </w:r>
      <w:r>
        <w:t xml:space="preserve"> </w:t>
      </w:r>
      <w:r>
        <w:t xml:space="preserve">3. Net-monit will track response time, HTTP status code, page size, and SSL certificate expiry (an expiring/expired cert can affect the site’s overall status, not just show as a side note).</w:t>
      </w:r>
    </w:p>
    <w:p>
      <w:pPr>
        <w:pStyle w:val="BodyText"/>
      </w:pPr>
      <w:r>
        <w:t xml:space="preserve">You can also quickly add either kind of device from the</w:t>
      </w:r>
      <w:r>
        <w:t xml:space="preserve"> </w:t>
      </w:r>
      <w:r>
        <w:rPr>
          <w:bCs/>
          <w:b/>
        </w:rPr>
        <w:t xml:space="preserve">Dashboard</w:t>
      </w:r>
      <w:r>
        <w:t xml:space="preserve"> </w:t>
      </w:r>
      <w:r>
        <w:t xml:space="preserve">itself via</w:t>
      </w:r>
      <w:r>
        <w:t xml:space="preserve"> </w:t>
      </w:r>
      <w:r>
        <w:rPr>
          <w:bCs/>
          <w:b/>
        </w:rPr>
        <w:t xml:space="preserve">+ Add Tile</w:t>
      </w:r>
      <w:r>
        <w:t xml:space="preserve">, which offers the same options in a lighter-weight modal — useful when you just want to get something onto the dashboard fast without leaving it.</w:t>
      </w:r>
    </w:p>
    <w:bookmarkEnd w:id="21"/>
    <w:bookmarkStart w:id="26" w:name="alerting-how-it-works-and-how-to-tune-it"/>
    <w:p>
      <w:pPr>
        <w:pStyle w:val="Heading2"/>
      </w:pPr>
      <w:r>
        <w:t xml:space="preserve">3. Alerting — how it works and how to tune it</w:t>
      </w:r>
    </w:p>
    <w:bookmarkStart w:id="22" w:name="thresholds"/>
    <w:p>
      <w:pPr>
        <w:pStyle w:val="Heading3"/>
      </w:pPr>
      <w:r>
        <w:t xml:space="preserve">3.1 Thresholds</w:t>
      </w:r>
    </w:p>
    <w:p>
      <w:pPr>
        <w:pStyle w:val="FirstParagraph"/>
      </w:pPr>
      <w:r>
        <w:t xml:space="preserve">Every numeric metric (CPU%, memory%, disk%, latency, packet loss, and — new in V8.2 — website response time) has a</w:t>
      </w:r>
      <w:r>
        <w:t xml:space="preserve"> </w:t>
      </w:r>
      <w:r>
        <w:rPr>
          <w:bCs/>
          <w:b/>
        </w:rPr>
        <w:t xml:space="preserve">warning</w:t>
      </w:r>
      <w:r>
        <w:t xml:space="preserve"> </w:t>
      </w:r>
      <w:r>
        <w:t xml:space="preserve">and</w:t>
      </w:r>
      <w:r>
        <w:t xml:space="preserve"> </w:t>
      </w:r>
      <w:r>
        <w:rPr>
          <w:bCs/>
          <w:b/>
        </w:rPr>
        <w:t xml:space="preserve">critical</w:t>
      </w:r>
      <w:r>
        <w:t xml:space="preserve"> </w:t>
      </w:r>
      <w:r>
        <w:t xml:space="preserve">threshold. There’s a sensible built-in default for each; override globally (Settings) or per-device (device edit form) if a particular server or site needs different limits.</w:t>
      </w:r>
    </w:p>
    <w:bookmarkEnd w:id="22"/>
    <w:bookmarkStart w:id="23" w:name="alert-trigger-mode-new-in-v8.2"/>
    <w:p>
      <w:pPr>
        <w:pStyle w:val="Heading3"/>
      </w:pPr>
      <w:r>
        <w:t xml:space="preserve">3.2 Alert trigger mode — NEW in V8.2</w:t>
      </w:r>
    </w:p>
    <w:p>
      <w:pPr>
        <w:pStyle w:val="FirstParagraph"/>
      </w:pPr>
      <w:r>
        <w:t xml:space="preserve">This is the feature for controlling</w:t>
      </w:r>
      <w:r>
        <w:t xml:space="preserve"> </w:t>
      </w:r>
      <w:r>
        <w:rPr>
          <w:iCs/>
          <w:i/>
        </w:rPr>
        <w:t xml:space="preserve">when</w:t>
      </w:r>
      <w:r>
        <w:t xml:space="preserve"> </w:t>
      </w:r>
      <w:r>
        <w:t xml:space="preserve">the first alert email actually fires, separate from thresholds (which control</w:t>
      </w:r>
      <w:r>
        <w:t xml:space="preserve"> </w:t>
      </w:r>
      <w:r>
        <w:rPr>
          <w:iCs/>
          <w:i/>
        </w:rPr>
        <w:t xml:space="preserve">whether</w:t>
      </w:r>
      <w:r>
        <w:t xml:space="preserve"> </w:t>
      </w:r>
      <w:r>
        <w:t xml:space="preserve">something counts as a problem at all). Found in</w:t>
      </w:r>
      <w:r>
        <w:t xml:space="preserve"> </w:t>
      </w:r>
      <w:r>
        <w:rPr>
          <w:bCs/>
          <w:b/>
        </w:rPr>
        <w:t xml:space="preserve">Settings → Escalation</w:t>
      </w:r>
      <w:r>
        <w:t xml:space="preserve"> </w:t>
      </w:r>
      <w:r>
        <w:t xml:space="preserve">(global default) and in each device’s</w:t>
      </w:r>
      <w:r>
        <w:t xml:space="preserve"> </w:t>
      </w:r>
      <w:r>
        <w:rPr>
          <w:bCs/>
          <w:b/>
        </w:rPr>
        <w:t xml:space="preserve">Notify</w:t>
      </w:r>
      <w:r>
        <w:t xml:space="preserve"> </w:t>
      </w:r>
      <w:r>
        <w:t xml:space="preserve">modal (per-device override).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Immediate</w:t>
      </w:r>
      <w:r>
        <w:t xml:space="preserve"> </w:t>
      </w:r>
      <w:r>
        <w:t xml:space="preserve">(default): the moment a device/site crosses a threshold or goes offline, an email goes out. This is how every version before V8.2 behaved, and it’s still the default so upgrading doesn’t silently change your alert timing.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Wait to confirm, then alert</w:t>
      </w:r>
      <w:r>
        <w:t xml:space="preserve">: no email on the very first detection. Instead, the problem has to still be present once your</w:t>
      </w:r>
      <w:r>
        <w:t xml:space="preserve"> </w:t>
      </w:r>
      <w:r>
        <w:rPr>
          <w:bCs/>
          <w:b/>
        </w:rPr>
        <w:t xml:space="preserve">Level 1 escalation time</w:t>
      </w:r>
      <w:r>
        <w:t xml:space="preserve"> </w:t>
      </w:r>
      <w:r>
        <w:t xml:space="preserve">has elapsed (see below) before anything gets emailed. A brief blip — say, 5 seconds of packet loss on a site that then recovers on its own — still shows up in the</w:t>
      </w:r>
      <w:r>
        <w:t xml:space="preserve"> </w:t>
      </w:r>
      <w:r>
        <w:rPr>
          <w:bCs/>
          <w:b/>
        </w:rPr>
        <w:t xml:space="preserve">Alert Event Log</w:t>
      </w:r>
      <w:r>
        <w:t xml:space="preserve">, it just never reaches anyone’s inbox. If it’s</w:t>
      </w:r>
      <w:r>
        <w:t xml:space="preserve"> </w:t>
      </w:r>
      <w:r>
        <w:rPr>
          <w:iCs/>
          <w:i/>
        </w:rPr>
        <w:t xml:space="preserve">still</w:t>
      </w:r>
      <w:r>
        <w:t xml:space="preserve"> </w:t>
      </w:r>
      <w:r>
        <w:t xml:space="preserve">broken once L1 time passes, exactly one email fires at that point, and escalation continues from there exactly as it would in Immediate mode.</w:t>
      </w:r>
    </w:p>
    <w:p>
      <w:pPr>
        <w:pStyle w:val="FirstParagraph"/>
      </w:pPr>
      <w:r>
        <w:rPr>
          <w:bCs/>
          <w:b/>
        </w:rPr>
        <w:t xml:space="preserve">Example matching what most people want:</w:t>
      </w:r>
      <w:r>
        <w:t xml:space="preserve"> </w:t>
      </w:r>
      <w:r>
        <w:t xml:space="preserve">set the global mode to</w:t>
      </w:r>
      <w:r>
        <w:t xml:space="preserve"> </w:t>
      </w:r>
      <w:r>
        <w:t xml:space="preserve">“</w:t>
      </w:r>
      <w:r>
        <w:t xml:space="preserve">Wait to confirm</w:t>
      </w:r>
      <w:r>
        <w:t xml:space="preserve">”</w:t>
      </w:r>
      <w:r>
        <w:t xml:space="preserve">, and set Level 1 to 30 seconds. A device that blips for a few seconds and recovers generates no email at all (just a log entry); a device that’s actually down for 30+ seconds generates exactly one confirmed alert email, with Level 2/3 escalation continuing on top if it stays down even longer.</w:t>
      </w:r>
    </w:p>
    <w:bookmarkEnd w:id="23"/>
    <w:bookmarkStart w:id="24" w:name="escalation-levels-l1l2l3"/>
    <w:p>
      <w:pPr>
        <w:pStyle w:val="Heading3"/>
      </w:pPr>
      <w:r>
        <w:t xml:space="preserve">3.3 Escalation levels (L1/L2/L3)</w:t>
      </w:r>
    </w:p>
    <w:p>
      <w:pPr>
        <w:pStyle w:val="FirstParagraph"/>
      </w:pPr>
      <w:r>
        <w:t xml:space="preserve">Each level has its own delay (seconds since the problem started) and its own list of email recipients — so, for example, Level 1 might notify the on-call engineer after 30 seconds, Level 2 might add the team lead after 10 minutes, and Level 3 might add management after 30 minutes. Toggle each level on/off independently.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Apply to all devices</w:t>
      </w:r>
      <w:r>
        <w:rPr>
          <w:bCs/>
          <w:b/>
        </w:rPr>
        <w:t xml:space="preserve">”</w:t>
      </w:r>
      <w:r>
        <w:t xml:space="preserve"> </w:t>
      </w:r>
      <w:r>
        <w:t xml:space="preserve">pushes your current L1/L2/L3 timers, email lists, and alert trigger mode out to every device at once (per-device threshold overrides are left alone by this button — it only touches timing/emails/trigger mode).</w:t>
      </w:r>
    </w:p>
    <w:bookmarkEnd w:id="24"/>
    <w:bookmarkStart w:id="25" w:name="acknowledging-vs.-resolving"/>
    <w:p>
      <w:pPr>
        <w:pStyle w:val="Heading3"/>
      </w:pPr>
      <w:r>
        <w:t xml:space="preserve">3.4 Acknowledging vs. resolving</w:t>
      </w:r>
    </w:p>
    <w:p>
      <w:pPr>
        <w:pStyle w:val="FirstParagraph"/>
      </w:pPr>
      <w:r>
        <w:t xml:space="preserve">In the</w:t>
      </w:r>
      <w:r>
        <w:t xml:space="preserve"> </w:t>
      </w:r>
      <w:r>
        <w:rPr>
          <w:bCs/>
          <w:b/>
        </w:rPr>
        <w:t xml:space="preserve">Alert Event Log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Acknowledge</w:t>
      </w:r>
      <w:r>
        <w:t xml:space="preserve"> </w:t>
      </w:r>
      <w:r>
        <w:t xml:space="preserve">—</w:t>
      </w:r>
      <w:r>
        <w:t xml:space="preserve"> </w:t>
      </w:r>
      <w:r>
        <w:t xml:space="preserve">“</w:t>
      </w:r>
      <w:r>
        <w:t xml:space="preserve">I’ve seen this, stop escalating it for now.</w:t>
      </w:r>
      <w:r>
        <w:t xml:space="preserve">”</w:t>
      </w:r>
      <w:r>
        <w:t xml:space="preserve"> </w:t>
      </w:r>
      <w:r>
        <w:t xml:space="preserve">Suppresses further escalation emails for that specific device+metric until the end of the current day (23:59:59), after which it automatically reopens as a fresh incident if the problem is still there.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Resolve</w:t>
      </w:r>
      <w:r>
        <w:t xml:space="preserve"> </w:t>
      </w:r>
      <w:r>
        <w:t xml:space="preserve">— manually marks it closed. If the underlying problem is actually still happening, the next monitoring poll will simply detect it again and reopen a new incident — resolving doesn’t</w:t>
      </w:r>
      <w:r>
        <w:t xml:space="preserve"> </w:t>
      </w:r>
      <w:r>
        <w:t xml:space="preserve">“</w:t>
      </w:r>
      <w:r>
        <w:t xml:space="preserve">silence</w:t>
      </w:r>
      <w:r>
        <w:t xml:space="preserve">”</w:t>
      </w:r>
      <w:r>
        <w:t xml:space="preserve"> </w:t>
      </w:r>
      <w:r>
        <w:t xml:space="preserve">anything ongoing, it just clears the current entry.</w:t>
      </w:r>
    </w:p>
    <w:bookmarkEnd w:id="25"/>
    <w:bookmarkEnd w:id="26"/>
    <w:bookmarkStart w:id="27" w:name="network-scan"/>
    <w:p>
      <w:pPr>
        <w:pStyle w:val="Heading2"/>
      </w:pPr>
      <w:r>
        <w:t xml:space="preserve">4. Network Scan</w:t>
      </w:r>
    </w:p>
    <w:p>
      <w:pPr>
        <w:pStyle w:val="FirstParagraph"/>
      </w:pPr>
      <w:r>
        <w:t xml:space="preserve">Sweeps a subnet (e.g. </w:t>
      </w:r>
      <w:r>
        <w:rPr>
          <w:rStyle w:val="VerbatimChar"/>
        </w:rPr>
        <w:t xml:space="preserve">192.168.1.0/24</w:t>
      </w:r>
      <w:r>
        <w:t xml:space="preserve">) for live hosts: ping, common-port probing to guess device type, reverse-DNS hostname, and MAC address + vendor lookup. Use</w:t>
      </w:r>
      <w:r>
        <w:t xml:space="preserve"> </w:t>
      </w:r>
      <w:r>
        <w:rPr>
          <w:bCs/>
          <w:b/>
        </w:rPr>
        <w:t xml:space="preserve">Add</w:t>
      </w:r>
      <w:r>
        <w:t xml:space="preserve"> </w:t>
      </w:r>
      <w:r>
        <w:t xml:space="preserve">on any discovered host to promote it into a monitored Device without re-typing its IP.</w:t>
      </w:r>
    </w:p>
    <w:p>
      <w:pPr>
        <w:pStyle w:val="BodyText"/>
      </w:pPr>
      <w:r>
        <w:rPr>
          <w:bCs/>
          <w:b/>
        </w:rPr>
        <w:t xml:space="preserve">On MAC/vendor detection:</w:t>
      </w:r>
      <w:r>
        <w:t xml:space="preserve"> </w:t>
      </w:r>
      <w:r>
        <w:t xml:space="preserve">Net-monit reads your machine’s own ARP table to find MAC addresses (this doesn’t require any special permissions, unlike a raw packet capture). A device that hasn’t exchanged any network traffic with this machine yet may not have a MAC visible on the first scan — re-scanning after those devices have been pinged usually resolves it. Vendor names come from a built-in list of common manufacturer prefixes (a few hundred entries covering the vendors people actually run into on a LAN — Cisco, HP, Dell, Netgear, Ubiquiti, Apple, and so on) rather than the complete official registry, so an unusual or newer device may show a MAC with no vendor name attached; that’s expected, not a malfunction.</w:t>
      </w:r>
    </w:p>
    <w:bookmarkEnd w:id="27"/>
    <w:bookmarkStart w:id="28" w:name="dashboard-layout-for-your-own-view"/>
    <w:p>
      <w:pPr>
        <w:pStyle w:val="Heading2"/>
      </w:pPr>
      <w:r>
        <w:t xml:space="preserve">5. Dashboard layout (for your own view)</w:t>
      </w:r>
    </w:p>
    <w:p>
      <w:pPr>
        <w:pStyle w:val="FirstParagraph"/>
      </w:pPr>
      <w:r>
        <w:t xml:space="preserve">The Dashboard’s Edit Mode (drag tiles, resize, hide/show, switch Grid/List view and column density) is</w:t>
      </w:r>
      <w:r>
        <w:t xml:space="preserve"> </w:t>
      </w:r>
      <w:r>
        <w:rPr>
          <w:bCs/>
          <w:b/>
        </w:rPr>
        <w:t xml:space="preserve">saved per admin account</w:t>
      </w:r>
      <w:r>
        <w:t xml:space="preserve">, so your layout doesn’t affect what other users see, and correctly persists across refreshes and logins as of V8.2.</w:t>
      </w:r>
    </w:p>
    <w:bookmarkEnd w:id="28"/>
    <w:bookmarkStart w:id="29" w:name="user-management-admin-panel"/>
    <w:p>
      <w:pPr>
        <w:pStyle w:val="Heading2"/>
      </w:pPr>
      <w:r>
        <w:t xml:space="preserve">6. User management (Admin panel)</w:t>
      </w:r>
    </w:p>
    <w:p>
      <w:pPr>
        <w:pStyle w:val="FirstParagraph"/>
      </w:pPr>
      <w:r>
        <w:t xml:space="preserve">Create/edit/deactivate accounts, assign the</w:t>
      </w:r>
      <w:r>
        <w:t xml:space="preserve"> </w:t>
      </w:r>
      <w:r>
        <w:rPr>
          <w:rStyle w:val="VerbatimChar"/>
        </w:rPr>
        <w:t xml:space="preserve">admin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user</w:t>
      </w:r>
      <w:r>
        <w:t xml:space="preserve"> </w:t>
      </w:r>
      <w:r>
        <w:t xml:space="preserve">role. Regular users can view dashboards and monitoring pages but can’t touch SMTP, escalation, or user management. The</w:t>
      </w:r>
      <w:r>
        <w:t xml:space="preserve"> </w:t>
      </w:r>
      <w:r>
        <w:rPr>
          <w:bCs/>
          <w:b/>
        </w:rPr>
        <w:t xml:space="preserve">audit log</w:t>
      </w:r>
      <w:r>
        <w:t xml:space="preserve"> </w:t>
      </w:r>
      <w:r>
        <w:t xml:space="preserve">in the Admin panel records administrative actions (user changes, settings changes) with who/what/when.</w:t>
      </w:r>
    </w:p>
    <w:bookmarkEnd w:id="29"/>
    <w:bookmarkStart w:id="30" w:name="smtp-configuration"/>
    <w:p>
      <w:pPr>
        <w:pStyle w:val="Heading2"/>
      </w:pPr>
      <w:r>
        <w:t xml:space="preserve">7. SMTP configuration</w:t>
      </w:r>
    </w:p>
    <w:p>
      <w:pPr>
        <w:pStyle w:val="FirstParagraph"/>
      </w:pPr>
      <w:r>
        <w:t xml:space="preserve">Settings → SMTP: host, port, credentials, and the</w:t>
      </w:r>
      <w:r>
        <w:t xml:space="preserve"> </w:t>
      </w:r>
      <w:r>
        <w:t xml:space="preserve">“</w:t>
      </w:r>
      <w:r>
        <w:t xml:space="preserve">from</w:t>
      </w:r>
      <w:r>
        <w:t xml:space="preserve">”</w:t>
      </w:r>
      <w:r>
        <w:t xml:space="preserve"> </w:t>
      </w:r>
      <w:r>
        <w:t xml:space="preserve">address alert emails will be sent from. Send a test email after saving to confirm delivery before relying on it — some networks block outbound mail ports by default, which is the most common reason alert emails silently never arrive.</w:t>
      </w:r>
    </w:p>
    <w:bookmarkEnd w:id="30"/>
    <w:bookmarkStart w:id="31" w:name="backups"/>
    <w:p>
      <w:pPr>
        <w:pStyle w:val="Heading2"/>
      </w:pPr>
      <w:r>
        <w:t xml:space="preserve">8. Backups</w:t>
      </w:r>
    </w:p>
    <w:p>
      <w:pPr>
        <w:pStyle w:val="FirstParagraph"/>
      </w:pPr>
      <w:r>
        <w:t xml:space="preserve">Everything that matters lives in two places:</w:t>
      </w:r>
      <w:r>
        <w:t xml:space="preserve"> </w:t>
      </w:r>
      <w:r>
        <w:rPr>
          <w:rStyle w:val="VerbatimChar"/>
        </w:rPr>
        <w:t xml:space="preserve">config.yaml</w:t>
      </w:r>
      <w:r>
        <w:t xml:space="preserve"> </w:t>
      </w:r>
      <w:r>
        <w:t xml:space="preserve">(devices, SMTP, thresholds, escalation defaults) and</w:t>
      </w:r>
      <w:r>
        <w:t xml:space="preserve"> </w:t>
      </w:r>
      <w:r>
        <w:rPr>
          <w:rStyle w:val="VerbatimChar"/>
        </w:rPr>
        <w:t xml:space="preserve">data/monitor.db</w:t>
      </w:r>
      <w:r>
        <w:t xml:space="preserve"> </w:t>
      </w:r>
      <w:r>
        <w:t xml:space="preserve">(users, alert history, per-user dashboard layout, license state). Back up both together, on the same schedule — they’re not useful independently of each other.</w:t>
      </w:r>
    </w:p>
    <w:bookmarkEnd w:id="31"/>
    <w:bookmarkEnd w:id="32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2026-09-29T23:46:37Z</dcterms:created>
  <dcterms:modified xsi:type="dcterms:W3CDTF">2026-09-29T23:46:37Z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