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0F25F3" w:rsidR="00FE7BC1" w:rsidP="006740C3" w:rsidRDefault="00000000" w14:paraId="2C8EFE41" w14:textId="77777777">
      <w:pPr>
        <w:jc w:val="center"/>
        <w:rPr>
          <w:sz w:val="32"/>
          <w:szCs w:val="32"/>
        </w:rPr>
      </w:pPr>
      <w:r w:rsidRPr="000F25F3">
        <w:rPr>
          <w:b/>
          <w:sz w:val="32"/>
          <w:szCs w:val="32"/>
        </w:rPr>
        <w:t>Infrastructure Analysis: Drinking Water Access in Sub-Saharan Africa</w:t>
      </w:r>
    </w:p>
    <w:p w:rsidR="00FE7BC1" w:rsidRDefault="00FE7BC1" w14:paraId="04BCDDAE" w14:textId="77777777"/>
    <w:p w:rsidR="00FE7BC1" w:rsidRDefault="00000000" w14:paraId="5C911C6C" w14:textId="77777777">
      <w:r>
        <w:rPr>
          <w:b/>
          <w:sz w:val="28"/>
        </w:rPr>
        <w:t>Introduction</w:t>
      </w:r>
    </w:p>
    <w:p w:rsidR="00FE7BC1" w:rsidRDefault="00000000" w14:paraId="45FC4EA0" w14:textId="7FBB08A8">
      <w:pPr>
        <w:spacing w:line="360" w:lineRule="auto"/>
      </w:pPr>
      <w:r w:rsidR="3CD04601">
        <w:rPr/>
        <w:t xml:space="preserve">The Water Project is a non-governmental organization (NGO) focused on improving access to safe drinking water in countries around the world, particularly in Sub-Saharan Africa. Access to reliable drinking water is essential for public health, economic development, and long-term sustainability. Many countries in Sub-Saharan Africa continue to face challenges related to water infrastructure, water quality, and </w:t>
      </w:r>
      <w:r w:rsidR="3CD04601">
        <w:rPr/>
        <w:t>equitable</w:t>
      </w:r>
      <w:r w:rsidR="3CD04601">
        <w:rPr/>
        <w:t xml:space="preserve"> access to drinking water sources.</w:t>
      </w:r>
      <w:r>
        <w:br/>
      </w:r>
      <w:r>
        <w:br/>
      </w:r>
      <w:r w:rsidR="3CD04601">
        <w:rPr/>
        <w:t xml:space="preserve">The </w:t>
      </w:r>
      <w:r w:rsidR="3CD04601">
        <w:rPr/>
        <w:t>objective</w:t>
      </w:r>
      <w:r w:rsidR="3CD04601">
        <w:rPr/>
        <w:t xml:space="preserve"> of this project is to analyze the JMP Household Drinking Water dataset </w:t>
      </w:r>
      <w:r w:rsidR="3CD04601">
        <w:rPr/>
        <w:t>in order to</w:t>
      </w:r>
      <w:r w:rsidR="3CD04601">
        <w:rPr/>
        <w:t xml:space="preserve"> evaluate trends in drinking water access across countries in the Sub-Saharan Africa region</w:t>
      </w:r>
      <w:r w:rsidR="6E514532">
        <w:rPr/>
        <w:t xml:space="preserve"> between 2000 and 2022</w:t>
      </w:r>
      <w:r w:rsidR="3CD04601">
        <w:rPr/>
        <w:t xml:space="preserve">. Python was used to organize, analyze, and visualize </w:t>
      </w:r>
      <w:r w:rsidR="797830C9">
        <w:rPr/>
        <w:t>the dataset</w:t>
      </w:r>
      <w:r w:rsidR="3CD04601">
        <w:rPr/>
        <w:t xml:space="preserve"> to </w:t>
      </w:r>
      <w:r w:rsidR="3CD04601">
        <w:rPr/>
        <w:t>identify</w:t>
      </w:r>
      <w:r w:rsidR="3CD04601">
        <w:rPr/>
        <w:t xml:space="preserve"> patterns and differences in water access between countries over time. The results of this project are intended to support engineering and infrastructure decision-making by helping </w:t>
      </w:r>
      <w:r w:rsidR="3CD04601">
        <w:rPr/>
        <w:t>identify</w:t>
      </w:r>
      <w:r w:rsidR="3CD04601">
        <w:rPr/>
        <w:t xml:space="preserve"> areas where improvements in drinking water access are still needed.</w:t>
      </w:r>
      <w:r w:rsidR="41DE457A">
        <w:rPr/>
        <w:t xml:space="preserve"> By looking at these trends, </w:t>
      </w:r>
      <w:r w:rsidR="41DE457A">
        <w:rPr/>
        <w:t>it’s</w:t>
      </w:r>
      <w:r w:rsidR="41DE457A">
        <w:rPr/>
        <w:t xml:space="preserve"> easy to </w:t>
      </w:r>
      <w:r w:rsidR="41DE457A">
        <w:rPr/>
        <w:t>identify</w:t>
      </w:r>
      <w:r w:rsidR="41DE457A">
        <w:rPr/>
        <w:t xml:space="preserve"> which countries </w:t>
      </w:r>
      <w:r w:rsidR="41DE457A">
        <w:rPr/>
        <w:t>improved</w:t>
      </w:r>
      <w:r w:rsidR="41DE457A">
        <w:rPr/>
        <w:t xml:space="preserve"> the most and which still need major </w:t>
      </w:r>
      <w:r w:rsidR="41DE457A">
        <w:rPr/>
        <w:t>infrastructure</w:t>
      </w:r>
      <w:r w:rsidR="41DE457A">
        <w:rPr/>
        <w:t xml:space="preserve"> planning.</w:t>
      </w:r>
    </w:p>
    <w:p w:rsidR="00FE7BC1" w:rsidRDefault="00000000" w14:paraId="66C0CD77" w14:textId="36386F9A">
      <w:pPr>
        <w:spacing w:line="360" w:lineRule="auto"/>
      </w:pPr>
      <w:r w:rsidRPr="54546700" w:rsidR="3CD04601">
        <w:rPr>
          <w:b w:val="1"/>
          <w:bCs w:val="1"/>
          <w:sz w:val="28"/>
          <w:szCs w:val="28"/>
        </w:rPr>
        <w:t>Methods</w:t>
      </w:r>
    </w:p>
    <w:p w:rsidR="00FE7BC1" w:rsidP="54546700" w:rsidRDefault="00000000" w14:paraId="7F6F12DA" w14:textId="78357302">
      <w:pPr>
        <w:spacing w:line="360" w:lineRule="auto"/>
        <w:rPr>
          <w:b w:val="1"/>
          <w:bCs w:val="1"/>
          <w:sz w:val="28"/>
          <w:szCs w:val="28"/>
        </w:rPr>
      </w:pPr>
    </w:p>
    <w:p w:rsidR="00FE7BC1" w:rsidP="54546700" w:rsidRDefault="00000000" w14:paraId="40CE805E" w14:textId="4A316C70">
      <w:pPr>
        <w:pStyle w:val="Normal"/>
        <w:suppressLineNumbers w:val="0"/>
        <w:bidi w:val="0"/>
        <w:spacing w:before="0" w:beforeAutospacing="off" w:after="200" w:afterAutospacing="off" w:line="360" w:lineRule="auto"/>
        <w:ind w:left="0" w:right="0"/>
        <w:jc w:val="left"/>
      </w:pPr>
      <w:r w:rsidR="0842AFEC">
        <w:rPr/>
        <w:t xml:space="preserve">Variables were selected from the JMP Drinking Water dataset including country, year, region, and percentage of population with access to basic drinking water services. We also separated countries to compare the data between them. The year variable was used to </w:t>
      </w:r>
      <w:r w:rsidR="10B65253">
        <w:rPr/>
        <w:t xml:space="preserve">compare how the trends in drinking water have changed over the last 23 years. We also used the percentage of the population with access to drinking water because it directly measures the availability of water </w:t>
      </w:r>
      <w:r w:rsidR="66819123">
        <w:rPr/>
        <w:t>infrastructure</w:t>
      </w:r>
      <w:r w:rsidR="10B65253">
        <w:rPr/>
        <w:t>.</w:t>
      </w:r>
    </w:p>
    <w:p w:rsidR="00FE7BC1" w:rsidP="54546700" w:rsidRDefault="00000000" w14:paraId="58014C82" w14:textId="770186AC">
      <w:pPr>
        <w:pStyle w:val="Normal"/>
        <w:suppressLineNumbers w:val="0"/>
        <w:bidi w:val="0"/>
        <w:spacing w:before="0" w:beforeAutospacing="off" w:after="200" w:afterAutospacing="off" w:line="360" w:lineRule="auto"/>
        <w:ind w:left="0" w:right="0"/>
        <w:jc w:val="left"/>
      </w:pPr>
      <w:r>
        <w:br/>
      </w:r>
      <w:r w:rsidR="3CD04601">
        <w:rPr/>
        <w:t xml:space="preserve">Python was used throughout the project to import, organize, clean, and analyze the JMP Household Drinking Water dataset. The dataset was imported using pandas, and unnecessary columns or missing values were removed during the data cleaning process. </w:t>
      </w:r>
      <w:r w:rsidR="3CD04601">
        <w:rPr/>
        <w:t>Data filtering and grouping techniques were then used to isolate countries within the Sub-Saharan Africa region and compare changes in drinking water access over time.</w:t>
      </w:r>
      <w:r>
        <w:br/>
      </w:r>
      <w:r>
        <w:br/>
      </w:r>
      <w:r w:rsidR="3CD04601">
        <w:rPr/>
        <w:t xml:space="preserve">Matplotlib and </w:t>
      </w:r>
      <w:r w:rsidR="7D521D9F">
        <w:rPr/>
        <w:t>GeoPandas</w:t>
      </w:r>
      <w:r w:rsidR="3CD04601">
        <w:rPr/>
        <w:t xml:space="preserve"> were used to create visualizations including summary figures, time-series plots, grouped bar charts, and geographic maps. Grouping and aggregation methods were applied to compare drinking water access percentages between countries and across </w:t>
      </w:r>
      <w:r w:rsidR="41647AF4">
        <w:rPr/>
        <w:t>the years</w:t>
      </w:r>
      <w:r w:rsidR="3CD04601">
        <w:rPr/>
        <w:t>. The visualizations were customized with titles, labels, legends, and formatting to clearly communicate trends and differences in water access.</w:t>
      </w:r>
    </w:p>
    <w:p w:rsidR="00FE7BC1" w:rsidRDefault="00000000" w14:paraId="44E0F244" w14:textId="77777777">
      <w:r>
        <w:rPr>
          <w:b/>
          <w:sz w:val="28"/>
        </w:rPr>
        <w:t>Description of Plots</w:t>
      </w:r>
    </w:p>
    <w:p w:rsidR="002C2CAD" w:rsidP="002C2CAD" w:rsidRDefault="00000000" w14:paraId="77E6E498" w14:textId="12219F62">
      <w:pPr>
        <w:spacing w:line="360" w:lineRule="auto"/>
      </w:pPr>
      <w:r w:rsidR="3CD04601">
        <w:rPr/>
        <w:t xml:space="preserve">Figure 1 is a time-series plot showing changes in drinking water access percentages over time for selected countries in Sub-Saharan Africa. The plot </w:t>
      </w:r>
      <w:r w:rsidR="499DC847">
        <w:rPr/>
        <w:t>shows</w:t>
      </w:r>
      <w:r w:rsidR="3CD04601">
        <w:rPr/>
        <w:t xml:space="preserve"> </w:t>
      </w:r>
      <w:r w:rsidR="3CD04601">
        <w:rPr/>
        <w:t>direct</w:t>
      </w:r>
      <w:r w:rsidR="3CD04601">
        <w:rPr/>
        <w:t xml:space="preserve"> comparison of long-term trends between countries and </w:t>
      </w:r>
      <w:r w:rsidR="3CD04601">
        <w:rPr/>
        <w:t>demonstrates</w:t>
      </w:r>
      <w:r w:rsidR="3CD04601">
        <w:rPr/>
        <w:t xml:space="preserve"> how drinking water access has changed over time.</w:t>
      </w:r>
      <w:r w:rsidR="27451B15">
        <w:rPr/>
        <w:t xml:space="preserve"> </w:t>
      </w:r>
      <w:r w:rsidR="3977CD22">
        <w:rPr/>
        <w:t xml:space="preserve">For some countries you can see how it </w:t>
      </w:r>
      <w:r w:rsidR="3977CD22">
        <w:rPr/>
        <w:t>hasn</w:t>
      </w:r>
      <w:r w:rsidR="3977CD22">
        <w:rPr/>
        <w:t>’t</w:t>
      </w:r>
      <w:r w:rsidR="3977CD22">
        <w:rPr/>
        <w:t xml:space="preserve"> changed m</w:t>
      </w:r>
      <w:r w:rsidR="12E90418">
        <w:rPr/>
        <w:t>uch.</w:t>
      </w:r>
    </w:p>
    <w:p w:rsidR="008F21E3" w:rsidP="002C2CAD" w:rsidRDefault="00000000" w14:paraId="322AC438" w14:textId="4B257ADA">
      <w:pPr>
        <w:spacing w:line="360" w:lineRule="auto"/>
        <w:jc w:val="center"/>
      </w:pPr>
      <w:r>
        <w:br/>
      </w:r>
      <w:r w:rsidR="008F21E3">
        <w:t>Figure 1: Drinking Water Access Over Time</w:t>
      </w:r>
      <w:r>
        <w:br/>
      </w:r>
      <w:r w:rsidR="000F25F3">
        <w:rPr>
          <w:noProof/>
        </w:rPr>
        <w:drawing>
          <wp:inline distT="0" distB="0" distL="0" distR="0" wp14:anchorId="6197DDC7" wp14:editId="580BF1B0">
            <wp:extent cx="5486400" cy="2621915"/>
            <wp:effectExtent l="0" t="0" r="0" b="6985"/>
            <wp:docPr id="144709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97224" name="Picture 1447097224"/>
                    <pic:cNvPicPr/>
                  </pic:nvPicPr>
                  <pic:blipFill>
                    <a:blip r:embed="rId6"/>
                    <a:stretch>
                      <a:fillRect/>
                    </a:stretch>
                  </pic:blipFill>
                  <pic:spPr>
                    <a:xfrm>
                      <a:off x="0" y="0"/>
                      <a:ext cx="5486400" cy="2621915"/>
                    </a:xfrm>
                    <a:prstGeom prst="rect">
                      <a:avLst/>
                    </a:prstGeom>
                  </pic:spPr>
                </pic:pic>
              </a:graphicData>
            </a:graphic>
          </wp:inline>
        </w:drawing>
      </w:r>
    </w:p>
    <w:p w:rsidR="000F25F3" w:rsidP="54546700" w:rsidRDefault="002C2CAD" w14:paraId="3F0265FD" w14:textId="558472CA">
      <w:pPr>
        <w:spacing w:line="360" w:lineRule="auto"/>
      </w:pPr>
      <w:r>
        <w:br/>
      </w:r>
      <w:r w:rsidR="3CD04601">
        <w:rPr/>
        <w:t>Figure 2 is a bar chart comparing the latest available drinking water access percentages for selected countries in Sub-Saharan Africa. The chart highlights differences in current drinking water infrastructure and accessibility between countries.</w:t>
      </w:r>
      <w:r>
        <w:br/>
      </w:r>
    </w:p>
    <w:p w:rsidR="00BA1842" w:rsidP="54546700" w:rsidRDefault="000F25F3" w14:paraId="5F6B6EF5" w14:textId="1BC003A6">
      <w:pPr>
        <w:pStyle w:val="Normal"/>
        <w:spacing w:line="360" w:lineRule="auto"/>
        <w:jc w:val="left"/>
      </w:pPr>
      <w:r w:rsidR="6E55B859">
        <w:drawing>
          <wp:inline wp14:editId="76043C9A" wp14:anchorId="66F91E08">
            <wp:extent cx="5486400" cy="2603500"/>
            <wp:effectExtent l="0" t="0" r="0" b="6350"/>
            <wp:docPr id="1981727698"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727698" name="Picture 1981727698"/>
                    <pic:cNvPicPr/>
                  </pic:nvPicPr>
                  <pic:blipFill>
                    <a:blip xmlns:r="http://schemas.openxmlformats.org/officeDocument/2006/relationships" r:embed="rId7"/>
                    <a:stretch>
                      <a:fillRect/>
                    </a:stretch>
                  </pic:blipFill>
                  <pic:spPr>
                    <a:xfrm>
                      <a:off x="0" y="0"/>
                      <a:ext cx="5486400" cy="2603500"/>
                    </a:xfrm>
                    <a:prstGeom prst="rect">
                      <a:avLst/>
                    </a:prstGeom>
                  </pic:spPr>
                </pic:pic>
              </a:graphicData>
            </a:graphic>
          </wp:inline>
        </w:drawing>
      </w:r>
      <w:r w:rsidR="3FE1987C">
        <w:rPr/>
        <w:t xml:space="preserve">Figure 2: </w:t>
      </w:r>
      <w:r w:rsidR="3FE1987C">
        <w:rPr/>
        <w:t>Latest</w:t>
      </w:r>
      <w:r w:rsidR="3FE1987C">
        <w:rPr/>
        <w:t xml:space="preserve"> Available Drinking Water Access by Country</w:t>
      </w:r>
      <w:r>
        <w:br/>
      </w:r>
      <w:r>
        <w:br/>
      </w:r>
      <w:r w:rsidR="6E55B859">
        <w:rPr/>
        <w:t xml:space="preserve">Figure 3 consists of grouped bar charts comparing urban and rural drinking water access percentages during different time periods including 2000–2002, 2010–2012, and 2020–2022. These visualizations </w:t>
      </w:r>
      <w:r w:rsidR="6E55B859">
        <w:rPr/>
        <w:t>demonstrate</w:t>
      </w:r>
      <w:r w:rsidR="6E55B859">
        <w:rPr/>
        <w:t xml:space="preserve"> disparities in infrastructure access between urban</w:t>
      </w:r>
      <w:r w:rsidR="3C934376">
        <w:rPr/>
        <w:t xml:space="preserve"> </w:t>
      </w:r>
      <w:r w:rsidR="6E55B859">
        <w:rPr/>
        <w:t>and rural areas and show how these differences have changed over time.</w:t>
      </w:r>
      <w:r>
        <w:br/>
      </w:r>
      <w:r w:rsidR="6E55B859">
        <w:drawing>
          <wp:inline wp14:editId="67A01DB6" wp14:anchorId="635AF0EE">
            <wp:extent cx="5486400" cy="2655570"/>
            <wp:effectExtent l="0" t="0" r="0" b="0"/>
            <wp:docPr id="1810173198"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173198" name="Picture 1810173198"/>
                    <pic:cNvPicPr/>
                  </pic:nvPicPr>
                  <pic:blipFill>
                    <a:blip xmlns:r="http://schemas.openxmlformats.org/officeDocument/2006/relationships" r:embed="rId8"/>
                    <a:stretch>
                      <a:fillRect/>
                    </a:stretch>
                  </pic:blipFill>
                  <pic:spPr>
                    <a:xfrm>
                      <a:off x="0" y="0"/>
                      <a:ext cx="5486400" cy="2655570"/>
                    </a:xfrm>
                    <a:prstGeom prst="rect">
                      <a:avLst/>
                    </a:prstGeom>
                  </pic:spPr>
                </pic:pic>
              </a:graphicData>
            </a:graphic>
          </wp:inline>
        </w:drawing>
      </w:r>
      <w:r w:rsidR="6E55B859">
        <w:drawing>
          <wp:inline wp14:editId="5614D6C8" wp14:anchorId="1638C1DE">
            <wp:extent cx="5486400" cy="2560955"/>
            <wp:effectExtent l="0" t="0" r="0" b="0"/>
            <wp:docPr id="448154207"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154207" name="Picture 448154207"/>
                    <pic:cNvPicPr/>
                  </pic:nvPicPr>
                  <pic:blipFill>
                    <a:blip xmlns:r="http://schemas.openxmlformats.org/officeDocument/2006/relationships" r:embed="rId9"/>
                    <a:stretch>
                      <a:fillRect/>
                    </a:stretch>
                  </pic:blipFill>
                  <pic:spPr>
                    <a:xfrm>
                      <a:off x="0" y="0"/>
                      <a:ext cx="5486400" cy="2560955"/>
                    </a:xfrm>
                    <a:prstGeom prst="rect">
                      <a:avLst/>
                    </a:prstGeom>
                  </pic:spPr>
                </pic:pic>
              </a:graphicData>
            </a:graphic>
          </wp:inline>
        </w:drawing>
      </w:r>
      <w:r>
        <w:br/>
      </w:r>
      <w:r w:rsidR="6E55B859">
        <w:drawing>
          <wp:inline wp14:editId="53720626" wp14:anchorId="1FDCFB21">
            <wp:extent cx="5486400" cy="2581275"/>
            <wp:effectExtent l="0" t="0" r="0" b="9525"/>
            <wp:docPr id="753520688"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520688" name="Picture 753520688"/>
                    <pic:cNvPicPr/>
                  </pic:nvPicPr>
                  <pic:blipFill>
                    <a:blip xmlns:r="http://schemas.openxmlformats.org/officeDocument/2006/relationships" r:embed="rId10"/>
                    <a:stretch>
                      <a:fillRect/>
                    </a:stretch>
                  </pic:blipFill>
                  <pic:spPr>
                    <a:xfrm>
                      <a:off x="0" y="0"/>
                      <a:ext cx="5486400" cy="2581275"/>
                    </a:xfrm>
                    <a:prstGeom prst="rect">
                      <a:avLst/>
                    </a:prstGeom>
                  </pic:spPr>
                </pic:pic>
              </a:graphicData>
            </a:graphic>
          </wp:inline>
        </w:drawing>
      </w:r>
      <w:r w:rsidR="765E757D">
        <w:rPr/>
        <w:t>Figure 3: Urban and Rural Drinking Water Access (2000-2022)</w:t>
      </w:r>
      <w:r>
        <w:br/>
      </w:r>
    </w:p>
    <w:p w:rsidR="00BA1842" w:rsidP="54546700" w:rsidRDefault="000F25F3" w14:paraId="20A670A4" w14:textId="63A9D7D5">
      <w:pPr>
        <w:pStyle w:val="Normal"/>
        <w:spacing w:line="360" w:lineRule="auto"/>
        <w:jc w:val="left"/>
      </w:pPr>
      <w:r w:rsidR="6E55B859">
        <w:rPr/>
        <w:t xml:space="preserve">Figure 4 consists of geographic maps displaying drinking water access percentages across countries in Sub-Saharan Africa. Color shading was used to </w:t>
      </w:r>
      <w:r w:rsidR="6E55B859">
        <w:rPr/>
        <w:t>represent</w:t>
      </w:r>
      <w:r w:rsidR="6E55B859">
        <w:rPr/>
        <w:t xml:space="preserve"> varying levels of access, with darker colors </w:t>
      </w:r>
      <w:r w:rsidR="6E55B859">
        <w:rPr/>
        <w:t>indicating</w:t>
      </w:r>
      <w:r w:rsidR="6E55B859">
        <w:rPr/>
        <w:t xml:space="preserve"> higher percentages of drinking water access.</w:t>
      </w:r>
      <w:r w:rsidR="02AA8B27">
        <w:rPr/>
        <w:t xml:space="preserve"> The first map </w:t>
      </w:r>
      <w:r w:rsidR="02AA8B27">
        <w:rPr/>
        <w:t>represents</w:t>
      </w:r>
      <w:r w:rsidR="02AA8B27">
        <w:rPr/>
        <w:t xml:space="preserve"> only </w:t>
      </w:r>
      <w:r w:rsidR="02AA8B27">
        <w:rPr/>
        <w:t>the 10</w:t>
      </w:r>
      <w:r w:rsidR="02AA8B27">
        <w:rPr/>
        <w:t xml:space="preserve"> countries used for analysis. The second map shows all the countries in Sub-Saharan Africa.</w:t>
      </w:r>
    </w:p>
    <w:p w:rsidR="00FE7BC1" w:rsidP="00BA1842" w:rsidRDefault="00BA1842" w14:paraId="04BAE8C8" w14:textId="1C64948E">
      <w:pPr>
        <w:spacing w:line="360" w:lineRule="auto"/>
        <w:jc w:val="center"/>
      </w:pPr>
      <w:r>
        <w:t>Figure 4: Drinking Water Access Across Sub-Saharan Africa</w:t>
      </w:r>
      <w:r w:rsidR="000F25F3">
        <w:br/>
      </w:r>
      <w:r w:rsidR="000F25F3">
        <w:rPr>
          <w:noProof/>
        </w:rPr>
        <w:drawing>
          <wp:inline distT="0" distB="0" distL="0" distR="0" wp14:anchorId="55B12FD1" wp14:editId="3E8F0C0B">
            <wp:extent cx="5486400" cy="5305425"/>
            <wp:effectExtent l="0" t="0" r="0" b="9525"/>
            <wp:docPr id="1626805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05205" name="Picture 1626805205"/>
                    <pic:cNvPicPr/>
                  </pic:nvPicPr>
                  <pic:blipFill>
                    <a:blip r:embed="rId11"/>
                    <a:stretch>
                      <a:fillRect/>
                    </a:stretch>
                  </pic:blipFill>
                  <pic:spPr>
                    <a:xfrm>
                      <a:off x="0" y="0"/>
                      <a:ext cx="5486400" cy="5305425"/>
                    </a:xfrm>
                    <a:prstGeom prst="rect">
                      <a:avLst/>
                    </a:prstGeom>
                  </pic:spPr>
                </pic:pic>
              </a:graphicData>
            </a:graphic>
          </wp:inline>
        </w:drawing>
      </w:r>
      <w:r w:rsidR="000F25F3">
        <w:rPr>
          <w:noProof/>
        </w:rPr>
        <w:drawing>
          <wp:inline distT="0" distB="0" distL="0" distR="0" wp14:anchorId="08DD678D" wp14:editId="10CDE74D">
            <wp:extent cx="5486400" cy="5190490"/>
            <wp:effectExtent l="0" t="0" r="0" b="0"/>
            <wp:docPr id="900119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9470" name="Picture 900119470"/>
                    <pic:cNvPicPr/>
                  </pic:nvPicPr>
                  <pic:blipFill>
                    <a:blip r:embed="rId12"/>
                    <a:stretch>
                      <a:fillRect/>
                    </a:stretch>
                  </pic:blipFill>
                  <pic:spPr>
                    <a:xfrm>
                      <a:off x="0" y="0"/>
                      <a:ext cx="5486400" cy="5190490"/>
                    </a:xfrm>
                    <a:prstGeom prst="rect">
                      <a:avLst/>
                    </a:prstGeom>
                  </pic:spPr>
                </pic:pic>
              </a:graphicData>
            </a:graphic>
          </wp:inline>
        </w:drawing>
      </w:r>
    </w:p>
    <w:p w:rsidR="00FE7BC1" w:rsidRDefault="00000000" w14:paraId="1180FE7A" w14:textId="77777777">
      <w:r>
        <w:rPr>
          <w:b/>
          <w:sz w:val="28"/>
        </w:rPr>
        <w:t>Results and Discussion</w:t>
      </w:r>
    </w:p>
    <w:p w:rsidR="00FE7BC1" w:rsidP="54546700" w:rsidRDefault="00000000" w14:paraId="4A84088A" w14:textId="52B2FB45">
      <w:pPr>
        <w:pStyle w:val="Normal"/>
        <w:suppressLineNumbers w:val="0"/>
        <w:bidi w:val="0"/>
        <w:spacing w:before="0" w:beforeAutospacing="off" w:after="200" w:afterAutospacing="off" w:line="360" w:lineRule="auto"/>
        <w:ind w:left="0" w:right="0"/>
        <w:jc w:val="left"/>
      </w:pPr>
      <w:r w:rsidR="3CD04601">
        <w:rPr/>
        <w:t xml:space="preserve">The visualizations show trends in drinking water access across different countries and regions within Sub-Saharan Africa. The results </w:t>
      </w:r>
      <w:r w:rsidR="3CD04601">
        <w:rPr/>
        <w:t>demonstrate</w:t>
      </w:r>
      <w:r w:rsidR="3CD04601">
        <w:rPr/>
        <w:t xml:space="preserve"> how access to clean water varies depending on economic development, infrastructure investment, and regional conditions. These differences are important because they directly </w:t>
      </w:r>
      <w:r w:rsidR="3CD04601">
        <w:rPr/>
        <w:t>impact</w:t>
      </w:r>
      <w:r w:rsidR="3CD04601">
        <w:rPr/>
        <w:t xml:space="preserve"> public health, environmental sustainability, and long-term infrastructure planning.</w:t>
      </w:r>
      <w:r>
        <w:br/>
      </w:r>
      <w:r>
        <w:br/>
      </w:r>
      <w:r w:rsidR="3CD04601">
        <w:rPr/>
        <w:t xml:space="preserve">Figure 1 shows that most countries experienced improvements in drinking water access over time. Botswana, South Africa, and Ghana consistently </w:t>
      </w:r>
      <w:r w:rsidR="3CD04601">
        <w:rPr/>
        <w:t>maintained</w:t>
      </w:r>
      <w:r w:rsidR="3CD04601">
        <w:rPr/>
        <w:t xml:space="preserve"> some of the highest drinking water access percentages throughout the dataset, with values </w:t>
      </w:r>
      <w:r w:rsidR="3CD04601">
        <w:rPr/>
        <w:t xml:space="preserve">approaching or exceeding 90% by the most recent years. Ethiopia, Uganda, and Nigeria also showed significant improvements over time, </w:t>
      </w:r>
      <w:r w:rsidR="3CD04601">
        <w:rPr/>
        <w:t>indicating</w:t>
      </w:r>
      <w:r w:rsidR="3CD04601">
        <w:rPr/>
        <w:t xml:space="preserve"> progress in water infrastructure development. In contrast, countries such as DR Congo and South Sudan </w:t>
      </w:r>
      <w:r w:rsidR="3CD04601">
        <w:rPr/>
        <w:t>maintained</w:t>
      </w:r>
      <w:r w:rsidR="3CD04601">
        <w:rPr/>
        <w:t xml:space="preserve"> lower drinking water access percentages, </w:t>
      </w:r>
      <w:r w:rsidR="3CD04601">
        <w:rPr/>
        <w:t>demonstrating</w:t>
      </w:r>
      <w:r w:rsidR="3CD04601">
        <w:rPr/>
        <w:t xml:space="preserve"> that challenges related to infrastructure and accessibility still exist in some regions.</w:t>
      </w:r>
      <w:r w:rsidR="4A33B11A">
        <w:rPr/>
        <w:t xml:space="preserve"> These 5 countries have experienced a lot of </w:t>
      </w:r>
      <w:r w:rsidR="3C7731D2">
        <w:rPr/>
        <w:t>war and conflict, political instability, and economic problems within the last few decades which can explain why their infrastructure development has been slower compared to other countries.</w:t>
      </w:r>
      <w:r>
        <w:br/>
      </w:r>
      <w:r>
        <w:br/>
      </w:r>
      <w:r w:rsidR="3CD04601">
        <w:rPr/>
        <w:t xml:space="preserve">Figure 2 highlights the differences in the latest available drinking water access percentages between countries. Botswana, South Africa, and Ghana had the highest percentages of drinking water access among the countries analyzed. Ethiopia, Niger, and South Sudan showed lower percentages in comparison, </w:t>
      </w:r>
      <w:r w:rsidR="3CD04601">
        <w:rPr/>
        <w:t>indicating</w:t>
      </w:r>
      <w:r w:rsidR="3CD04601">
        <w:rPr/>
        <w:t xml:space="preserve"> that access to drinking water infrastructure </w:t>
      </w:r>
      <w:r w:rsidR="3CD04601">
        <w:rPr/>
        <w:t>remains</w:t>
      </w:r>
      <w:r w:rsidR="3CD04601">
        <w:rPr/>
        <w:t xml:space="preserve"> uneven across Sub-Saharan Africa.</w:t>
      </w:r>
      <w:r w:rsidR="01879EC2">
        <w:rPr/>
        <w:t xml:space="preserve"> Drinking water access is still uneven across different countries. Some have made </w:t>
      </w:r>
      <w:r w:rsidR="5715207A">
        <w:rPr/>
        <w:t>progress</w:t>
      </w:r>
      <w:r w:rsidR="01879EC2">
        <w:rPr/>
        <w:t xml:space="preserve"> </w:t>
      </w:r>
      <w:r w:rsidR="731A8ADE">
        <w:rPr/>
        <w:t>but others remain in turmoil.</w:t>
      </w:r>
      <w:r>
        <w:br/>
      </w:r>
      <w:r>
        <w:br/>
      </w:r>
      <w:r w:rsidR="3CD04601">
        <w:rPr/>
        <w:t xml:space="preserve">Figure 3 </w:t>
      </w:r>
      <w:r w:rsidR="3CD04601">
        <w:rPr/>
        <w:t>demonstrates</w:t>
      </w:r>
      <w:r w:rsidR="3CD04601">
        <w:rPr/>
        <w:t xml:space="preserve"> clear differences between urban and rural drinking water access across multiple countries and time periods.</w:t>
      </w:r>
      <w:r w:rsidR="468A5EE9">
        <w:rPr/>
        <w:t xml:space="preserve"> It compares the differences in drinking water access between 2000-2002, 2010-2012, and 2020-2022 periods.</w:t>
      </w:r>
      <w:r w:rsidR="3CD04601">
        <w:rPr/>
        <w:t xml:space="preserve"> </w:t>
      </w:r>
      <w:r w:rsidR="3CD04601">
        <w:rPr/>
        <w:t xml:space="preserve">Urban areas consistently showed higher percentages of drinking water access than rural areas. While both urban and rural access </w:t>
      </w:r>
      <w:r w:rsidR="3CD04601">
        <w:rPr/>
        <w:t>generally improved</w:t>
      </w:r>
      <w:r w:rsidR="3CD04601">
        <w:rPr/>
        <w:t xml:space="preserve"> over time, the gap between urban and rural populations remained noticeable in several countries, particularly in Ethiopia, Niger, and DR Congo.</w:t>
      </w:r>
      <w:r w:rsidR="67674F10">
        <w:rPr/>
        <w:t xml:space="preserve"> Their rural </w:t>
      </w:r>
      <w:r w:rsidR="37B41161">
        <w:rPr/>
        <w:t>infrastructure</w:t>
      </w:r>
      <w:r w:rsidR="67674F10">
        <w:rPr/>
        <w:t xml:space="preserve"> remains lagging behind their urbanization. </w:t>
      </w:r>
      <w:r w:rsidR="7AC17893">
        <w:rPr/>
        <w:t xml:space="preserve">Urbans area </w:t>
      </w:r>
      <w:r w:rsidR="7AC17893">
        <w:rPr/>
        <w:t>usuaslly</w:t>
      </w:r>
      <w:r w:rsidR="7AC17893">
        <w:rPr/>
        <w:t xml:space="preserve"> have greater access to infrastructure investment, government services, and centralized water systems while rural populations rely mostly on smaller, local water sources that may not be reliable, safe, or clean to drink and consume.</w:t>
      </w:r>
      <w:r>
        <w:br/>
      </w:r>
      <w:r>
        <w:br/>
      </w:r>
      <w:r w:rsidR="3CD04601">
        <w:rPr/>
        <w:t xml:space="preserve">Figure 4 provides a geographic visualization of drinking water access across Sub-Saharan Africa. Countries with darker shading </w:t>
      </w:r>
      <w:r w:rsidR="3CD04601">
        <w:rPr/>
        <w:t>generally had</w:t>
      </w:r>
      <w:r w:rsidR="3CD04601">
        <w:rPr/>
        <w:t xml:space="preserve"> higher levels of drinking water access, while lighter shaded countries had lower access percentages. Southern African countries such as South Africa and Botswana showed relatively </w:t>
      </w:r>
      <w:r w:rsidR="3CD04601">
        <w:rPr/>
        <w:t>high levels</w:t>
      </w:r>
      <w:r w:rsidR="3CD04601">
        <w:rPr/>
        <w:t xml:space="preserve"> of drinking water access, while several central and eastern African countries showed lower access levels.</w:t>
      </w:r>
      <w:r>
        <w:br/>
      </w:r>
    </w:p>
    <w:p w:rsidR="00FE7BC1" w:rsidP="54546700" w:rsidRDefault="00000000" w14:paraId="1CAF3C2E" w14:textId="4DCB8ACD">
      <w:pPr>
        <w:pStyle w:val="Normal"/>
        <w:suppressLineNumbers w:val="0"/>
        <w:bidi w:val="0"/>
        <w:spacing w:before="0" w:beforeAutospacing="off" w:after="200" w:afterAutospacing="off" w:line="360" w:lineRule="auto"/>
        <w:ind w:left="0" w:right="0"/>
        <w:jc w:val="left"/>
      </w:pPr>
      <w:r w:rsidR="08B1D73F">
        <w:rPr/>
        <w:t xml:space="preserve">Overall, the results showed how drinking water access improved across much of Sub-Saharan Africa between 2000 and 2022 but there still exists major differences between many countries. </w:t>
      </w:r>
      <w:r w:rsidR="3CD04601">
        <w:rPr/>
        <w:t>Python-based data analysis</w:t>
      </w:r>
      <w:r w:rsidR="36601F26">
        <w:rPr/>
        <w:t xml:space="preserve"> demonstrated how it</w:t>
      </w:r>
      <w:r w:rsidR="3CD04601">
        <w:rPr/>
        <w:t xml:space="preserve"> can be used to support engineering decision-making and </w:t>
      </w:r>
      <w:r w:rsidR="3CD04601">
        <w:rPr/>
        <w:t>identify</w:t>
      </w:r>
      <w:r w:rsidR="3CD04601">
        <w:rPr/>
        <w:t xml:space="preserve"> important global trends. Understanding differences in water access and sanitation infrastructure can help engineers and policymakers prioritize future improvements and support sustainable development goals.</w:t>
      </w:r>
      <w:r w:rsidR="64DDC068">
        <w:rPr/>
        <w:t xml:space="preserve"> </w:t>
      </w:r>
    </w:p>
    <w:p w:rsidR="00FE7BC1" w:rsidRDefault="00000000" w14:paraId="09A46A7C" w14:textId="77777777">
      <w:r>
        <w:rPr>
          <w:b/>
          <w:sz w:val="28"/>
        </w:rPr>
        <w:t>References</w:t>
      </w:r>
    </w:p>
    <w:p w:rsidR="00FE7BC1" w:rsidRDefault="00000000" w14:paraId="0395CC40" w14:textId="77777777">
      <w:pPr>
        <w:spacing w:line="360" w:lineRule="auto"/>
      </w:pPr>
      <w:r>
        <w:t>JMP Household Drinking Water Data. https://washdata.org/data</w:t>
      </w:r>
      <w:r>
        <w:br/>
      </w:r>
      <w:r>
        <w:br/>
      </w:r>
      <w:r>
        <w:t>The Water Project. https://thewaterproject.org/</w:t>
      </w:r>
      <w:r>
        <w:br/>
      </w:r>
      <w:r>
        <w:br/>
      </w:r>
      <w:r>
        <w:t>World Bank Open Data.</w:t>
      </w:r>
      <w:r>
        <w:br/>
      </w:r>
      <w:r>
        <w:br/>
      </w:r>
      <w:r>
        <w:t>United Nations Sustainable Development Goals (SDG 6).</w:t>
      </w:r>
    </w:p>
    <w:sectPr w:rsidR="00FE7BC1"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52103019">
    <w:abstractNumId w:val="8"/>
  </w:num>
  <w:num w:numId="2" w16cid:durableId="1839228241">
    <w:abstractNumId w:val="6"/>
  </w:num>
  <w:num w:numId="3" w16cid:durableId="1159036639">
    <w:abstractNumId w:val="5"/>
  </w:num>
  <w:num w:numId="4" w16cid:durableId="1903715883">
    <w:abstractNumId w:val="4"/>
  </w:num>
  <w:num w:numId="5" w16cid:durableId="620305067">
    <w:abstractNumId w:val="7"/>
  </w:num>
  <w:num w:numId="6" w16cid:durableId="1467819564">
    <w:abstractNumId w:val="3"/>
  </w:num>
  <w:num w:numId="7" w16cid:durableId="1192187088">
    <w:abstractNumId w:val="2"/>
  </w:num>
  <w:num w:numId="8" w16cid:durableId="887716966">
    <w:abstractNumId w:val="1"/>
  </w:num>
  <w:num w:numId="9" w16cid:durableId="61656283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B5CD8"/>
    <w:rsid w:val="000F25F3"/>
    <w:rsid w:val="0015074B"/>
    <w:rsid w:val="0029639D"/>
    <w:rsid w:val="002C2CAD"/>
    <w:rsid w:val="00326F90"/>
    <w:rsid w:val="006740C3"/>
    <w:rsid w:val="006B6633"/>
    <w:rsid w:val="007F3429"/>
    <w:rsid w:val="008F21E3"/>
    <w:rsid w:val="00AA1D8D"/>
    <w:rsid w:val="00AB3C5E"/>
    <w:rsid w:val="00B47730"/>
    <w:rsid w:val="00BA1842"/>
    <w:rsid w:val="00C121D0"/>
    <w:rsid w:val="00C618B7"/>
    <w:rsid w:val="00CB0664"/>
    <w:rsid w:val="00DA61F4"/>
    <w:rsid w:val="00FC693F"/>
    <w:rsid w:val="00FE7BC1"/>
    <w:rsid w:val="01879EC2"/>
    <w:rsid w:val="02AA8B27"/>
    <w:rsid w:val="04BAC351"/>
    <w:rsid w:val="04FC7DC5"/>
    <w:rsid w:val="05C9EF48"/>
    <w:rsid w:val="0842AFEC"/>
    <w:rsid w:val="08B1D73F"/>
    <w:rsid w:val="0C00608B"/>
    <w:rsid w:val="10B65253"/>
    <w:rsid w:val="10F9B357"/>
    <w:rsid w:val="12E90418"/>
    <w:rsid w:val="18DB5B85"/>
    <w:rsid w:val="192DC931"/>
    <w:rsid w:val="19C29DEC"/>
    <w:rsid w:val="2539DFAF"/>
    <w:rsid w:val="27270A50"/>
    <w:rsid w:val="27451B15"/>
    <w:rsid w:val="2892AAFB"/>
    <w:rsid w:val="3054ABAE"/>
    <w:rsid w:val="336E152F"/>
    <w:rsid w:val="36601F26"/>
    <w:rsid w:val="37B41161"/>
    <w:rsid w:val="3977CD22"/>
    <w:rsid w:val="3A2B2746"/>
    <w:rsid w:val="3C635A4C"/>
    <w:rsid w:val="3C7731D2"/>
    <w:rsid w:val="3C934376"/>
    <w:rsid w:val="3CD04601"/>
    <w:rsid w:val="3F3BE7E7"/>
    <w:rsid w:val="3FE1987C"/>
    <w:rsid w:val="41647AF4"/>
    <w:rsid w:val="41DE457A"/>
    <w:rsid w:val="4354EEF0"/>
    <w:rsid w:val="468A5EE9"/>
    <w:rsid w:val="48587F80"/>
    <w:rsid w:val="499DC847"/>
    <w:rsid w:val="4A0FB909"/>
    <w:rsid w:val="4A33B11A"/>
    <w:rsid w:val="4AC9ED14"/>
    <w:rsid w:val="5394B7A8"/>
    <w:rsid w:val="54546700"/>
    <w:rsid w:val="56A1B07D"/>
    <w:rsid w:val="5715207A"/>
    <w:rsid w:val="58E6EBB7"/>
    <w:rsid w:val="5A6B16BF"/>
    <w:rsid w:val="5DCDA6AE"/>
    <w:rsid w:val="5E0985C4"/>
    <w:rsid w:val="62C16811"/>
    <w:rsid w:val="64DDC068"/>
    <w:rsid w:val="656C9C92"/>
    <w:rsid w:val="65EFC430"/>
    <w:rsid w:val="66819123"/>
    <w:rsid w:val="66CA790F"/>
    <w:rsid w:val="672CEC9E"/>
    <w:rsid w:val="67674F10"/>
    <w:rsid w:val="6B895626"/>
    <w:rsid w:val="6E514532"/>
    <w:rsid w:val="6E55B859"/>
    <w:rsid w:val="6E5D2328"/>
    <w:rsid w:val="731A8ADE"/>
    <w:rsid w:val="765E757D"/>
    <w:rsid w:val="77251E42"/>
    <w:rsid w:val="77CE72AA"/>
    <w:rsid w:val="797830C9"/>
    <w:rsid w:val="79AAEB59"/>
    <w:rsid w:val="7AC17893"/>
    <w:rsid w:val="7BD615F6"/>
    <w:rsid w:val="7C029C6B"/>
    <w:rsid w:val="7D521D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DE996"/>
  <w14:defaultImageDpi w14:val="300"/>
  <w15:docId w15:val="{2398960C-771A-4EA3-8C75-54FC4E5599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Mohamed Adam</lastModifiedBy>
  <revision>11</revision>
  <dcterms:created xsi:type="dcterms:W3CDTF">2026-05-08T14:46:00.0000000Z</dcterms:created>
  <dcterms:modified xsi:type="dcterms:W3CDTF">2026-05-08T20:35:55.5457618Z</dcterms:modified>
  <category/>
</coreProperties>
</file>