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Guide RH - Recrutement et Grille Salariale (Confidentiel)</w:t>
      </w:r>
    </w:p>
    <w:p>
      <w:pPr>
        <w:pStyle w:val="Heading1"/>
      </w:pPr>
      <w:r>
        <w:t>1. Grille Salariale des Cadres</w:t>
      </w:r>
    </w:p>
    <w:p>
      <w:r>
        <w:t>La rémunération des postes de cadres chez IntraSpace est strictement confidentielle. Le salaire de base pour un Lead Developer commence à 55 000 € brut annuel et peut aller jusqu'à 75 000 € selon l'expérience. Les directeurs de département et responsables RH ont une grille spécifique débutant à 65 000 € brut annuel.</w:t>
      </w:r>
    </w:p>
    <w:p>
      <w:pPr>
        <w:pStyle w:val="Heading1"/>
      </w:pPr>
      <w:r>
        <w:t>2. Procédure de Recrutement et Offres</w:t>
      </w:r>
    </w:p>
    <w:p>
      <w:r>
        <w:t>Toute promesse d'embauche doit être validée par la Direction Générale et le Responsable RH. L'offre finale de salaire ne doit pas dépasser les limites fixées par la grille salariale sans une dérogation écrite de la direction.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