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Cesarean Section Prediction AI - Model Report</w:t>
      </w:r>
    </w:p>
    <w:p>
      <w:r>
        <w:t>**AI Task/Objective:** Predict the likelihood of Cesarean Section (CS) vs Spontaneous Vaginal Delivery (SVD) before labor, using both clinical rules and a machine learning model built from real patient data.</w:t>
      </w:r>
    </w:p>
    <w:p>
      <w:pPr>
        <w:pStyle w:val="Heading1"/>
      </w:pPr>
      <w:r>
        <w:t>Training Set Statistics</w:t>
      </w:r>
    </w:p>
    <w:p>
      <w:r>
        <w:t>• Training samples: 5756</w:t>
      </w:r>
    </w:p>
    <w:p>
      <w:r>
        <w:t>• Cesarean rate in dataset: 39.7%</w:t>
      </w:r>
    </w:p>
    <w:p>
      <w:pPr>
        <w:pStyle w:val="Heading1"/>
      </w:pPr>
      <w:r>
        <w:t>Model Performance Metrics</w:t>
      </w:r>
    </w:p>
    <w:p>
      <w:r>
        <w:t>• AUC-ROC: 0.667</w:t>
        <w:br/>
        <w:t>• Accuracy: 0.686</w:t>
        <w:br/>
        <w:t>• Sensitivity (Recall): 0.389</w:t>
        <w:br/>
        <w:t>• Specificity: 0.882</w:t>
        <w:br/>
        <w:t>• Precision: 0.685</w:t>
      </w:r>
    </w:p>
    <w:p>
      <w:pPr>
        <w:pStyle w:val="Heading1"/>
      </w:pPr>
      <w:r>
        <w:t>Top Statistically Significant Risk Factors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Feature Importance</w:t>
            </w:r>
          </w:p>
        </w:tc>
      </w:tr>
      <w:tr>
        <w:tc>
          <w:tcPr>
            <w:tcW w:type="dxa" w:w="4320"/>
          </w:tcPr>
          <w:p>
            <w:r>
              <w:t>Pathological CTG (category III)</w:t>
            </w:r>
          </w:p>
        </w:tc>
        <w:tc>
          <w:tcPr>
            <w:tcW w:type="dxa" w:w="4320"/>
          </w:tcPr>
          <w:p>
            <w:r>
              <w:t>0.4295</w:t>
            </w:r>
          </w:p>
        </w:tc>
      </w:tr>
      <w:tr>
        <w:tc>
          <w:tcPr>
            <w:tcW w:type="dxa" w:w="4320"/>
          </w:tcPr>
          <w:p>
            <w:r>
              <w:t>Estimated fetal weight (gm)</w:t>
            </w:r>
          </w:p>
        </w:tc>
        <w:tc>
          <w:tcPr>
            <w:tcW w:type="dxa" w:w="4320"/>
          </w:tcPr>
          <w:p>
            <w:r>
              <w:t>0.3656</w:t>
            </w:r>
          </w:p>
        </w:tc>
      </w:tr>
      <w:tr>
        <w:tc>
          <w:tcPr>
            <w:tcW w:type="dxa" w:w="4320"/>
          </w:tcPr>
          <w:p>
            <w:r>
              <w:t>Multiple fetuses</w:t>
            </w:r>
          </w:p>
        </w:tc>
        <w:tc>
          <w:tcPr>
            <w:tcW w:type="dxa" w:w="4320"/>
          </w:tcPr>
          <w:p>
            <w:r>
              <w:t>0.1114</w:t>
            </w:r>
          </w:p>
        </w:tc>
      </w:tr>
      <w:tr>
        <w:tc>
          <w:tcPr>
            <w:tcW w:type="dxa" w:w="4320"/>
          </w:tcPr>
          <w:p>
            <w:r>
              <w:t>Suspicious CTG (category II)</w:t>
            </w:r>
          </w:p>
        </w:tc>
        <w:tc>
          <w:tcPr>
            <w:tcW w:type="dxa" w:w="4320"/>
          </w:tcPr>
          <w:p>
            <w:r>
              <w:t>0.0911</w:t>
            </w:r>
          </w:p>
        </w:tc>
      </w:tr>
      <w:tr>
        <w:tc>
          <w:tcPr>
            <w:tcW w:type="dxa" w:w="4320"/>
          </w:tcPr>
          <w:p>
            <w:r>
              <w:t>Severe anemia</w:t>
            </w:r>
          </w:p>
        </w:tc>
        <w:tc>
          <w:tcPr>
            <w:tcW w:type="dxa" w:w="4320"/>
          </w:tcPr>
          <w:p>
            <w:r>
              <w:t>0.0024</w:t>
            </w:r>
          </w:p>
        </w:tc>
      </w:tr>
      <w:tr>
        <w:tc>
          <w:tcPr>
            <w:tcW w:type="dxa" w:w="4320"/>
          </w:tcPr>
          <w:p>
            <w:r>
              <w:t>Multiple gestation (twins/triplet)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Grand multiparity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</w:tbl>
    <w:p>
      <w:pPr>
        <w:pStyle w:val="Heading1"/>
      </w:pPr>
      <w:r>
        <w:t>Direct Clinical Rules and Their Risk Probabilities</w:t>
      </w:r>
    </w:p>
    <w:tbl>
      <w:tblPr>
        <w:tblStyle w:val="MediumList2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Clinical 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 Probability (%)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Clinical Rationale</w:t>
            </w:r>
          </w:p>
        </w:tc>
      </w:tr>
      <w:tr>
        <w:tc>
          <w:tcPr>
            <w:tcW w:type="dxa" w:w="2880"/>
          </w:tcPr>
          <w:p>
            <w:r>
              <w:t>3 or more previous CS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Three or more prior CS nearly always delivered by CS for safety</w:t>
            </w:r>
          </w:p>
        </w:tc>
      </w:tr>
      <w:tr>
        <w:tc>
          <w:tcPr>
            <w:tcW w:type="dxa" w:w="2880"/>
          </w:tcPr>
          <w:p>
            <w:r>
              <w:t>2 previous 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Two prior CS usually lead to elective repeat CS due to rupture risk</w:t>
            </w:r>
          </w:p>
        </w:tc>
      </w:tr>
      <w:tr>
        <w:tc>
          <w:tcPr>
            <w:tcW w:type="dxa" w:w="2880"/>
          </w:tcPr>
          <w:p>
            <w:r>
              <w:t>1 previous CS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Trial of labor after one CS possible, but ~1/3 end with CS</w:t>
            </w:r>
          </w:p>
        </w:tc>
      </w:tr>
      <w:tr>
        <w:tc>
          <w:tcPr>
            <w:tcW w:type="dxa" w:w="2880"/>
          </w:tcPr>
          <w:p>
            <w:r>
              <w:t>History of uterine rupture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Previous uterine rupture mandates scheduled CS before labor</w:t>
            </w:r>
          </w:p>
        </w:tc>
      </w:tr>
      <w:tr>
        <w:tc>
          <w:tcPr>
            <w:tcW w:type="dxa" w:w="2880"/>
          </w:tcPr>
          <w:p>
            <w:r>
              <w:t>Current placenta previa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Placenta covering cervix blocks vaginal delivery</w:t>
            </w:r>
          </w:p>
        </w:tc>
      </w:tr>
      <w:tr>
        <w:tc>
          <w:tcPr>
            <w:tcW w:type="dxa" w:w="2880"/>
          </w:tcPr>
          <w:p>
            <w:r>
              <w:t>Current multiple gestation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Twins or higher pregnancies have increased CS risk</w:t>
            </w:r>
          </w:p>
        </w:tc>
      </w:tr>
      <w:tr>
        <w:tc>
          <w:tcPr>
            <w:tcW w:type="dxa" w:w="2880"/>
          </w:tcPr>
          <w:p>
            <w:r>
              <w:t>Current preeclampsia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Severe preeclampsia often requires CS</w:t>
            </w:r>
          </w:p>
        </w:tc>
      </w:tr>
      <w:tr>
        <w:tc>
          <w:tcPr>
            <w:tcW w:type="dxa" w:w="2880"/>
          </w:tcPr>
          <w:p>
            <w:r>
              <w:t>Severe anemia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Severe anemia (Hb&lt;7) limits labor tolerance; CS often chosen if complications exist</w:t>
            </w:r>
          </w:p>
        </w:tc>
      </w:tr>
      <w:tr>
        <w:tc>
          <w:tcPr>
            <w:tcW w:type="dxa" w:w="2880"/>
          </w:tcPr>
          <w:p>
            <w:r>
              <w:t>Breech/transverse presentation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Breech/transverse lies usually managed with CS to reduce perinatal risk</w:t>
            </w:r>
          </w:p>
        </w:tc>
      </w:tr>
      <w:tr>
        <w:tc>
          <w:tcPr>
            <w:tcW w:type="dxa" w:w="2880"/>
          </w:tcPr>
          <w:p>
            <w:r>
              <w:t>Pathological CTG (III)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Category III CTG = urgent CS for suspected hypoxia/acidosis</w:t>
            </w:r>
          </w:p>
        </w:tc>
      </w:tr>
      <w:tr>
        <w:tc>
          <w:tcPr>
            <w:tcW w:type="dxa" w:w="2880"/>
          </w:tcPr>
          <w:p>
            <w:r>
              <w:t>Suspicious CTG (II)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Category II CTG often monitored but may require CS</w:t>
            </w:r>
          </w:p>
        </w:tc>
      </w:tr>
    </w:tbl>
    <w:p>
      <w:pPr>
        <w:pStyle w:val="Heading1"/>
      </w:pPr>
      <w:r>
        <w:t>Classification Report</w:t>
      </w:r>
    </w:p>
    <w:p>
      <w:r>
        <w:t>precision    recall  f1-score   support</w:t>
        <w:br/>
        <w:br/>
        <w:t xml:space="preserve">         SVD       0.69      0.88      0.77       694</w:t>
        <w:br/>
        <w:t xml:space="preserve">          CS       0.68      0.39      0.50       458</w:t>
        <w:br/>
        <w:br/>
        <w:t xml:space="preserve">    accuracy                           0.69      1152</w:t>
        <w:br/>
        <w:t xml:space="preserve">   macro avg       0.69      0.64      0.63      1152</w:t>
        <w:br/>
        <w:t>weighted avg       0.69      0.69      0.66      1152</w:t>
      </w:r>
    </w:p>
    <w:p>
      <w:r>
        <w:t>**Notes:**</w:t>
        <w:br/>
        <w:t>- 'Direct rules' are clinical heuristics always applied before ML. If a patient matches one, that probability/reason is used and ML is bypassed.</w:t>
        <w:br/>
        <w:t>- The ML model leverages the most predictive risk factors shown above, with ROC and accuracy reported, and is primarily used when direct rules do not apply.</w:t>
        <w:br/>
      </w:r>
    </w:p>
    <w:p>
      <w:r>
        <w:t>**Prepared by:** Maternal AI Team | Date: (auto-generate today)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