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AD2C3" w14:textId="50443B9E" w:rsidR="007D4B6F" w:rsidRPr="007D4B6F" w:rsidRDefault="007D4B6F" w:rsidP="007D4B6F">
      <w:pPr>
        <w:jc w:val="center"/>
        <w:rPr>
          <w:b/>
          <w:bCs/>
          <w:sz w:val="36"/>
          <w:szCs w:val="36"/>
        </w:rPr>
      </w:pPr>
      <w:r w:rsidRPr="007D4B6F">
        <w:rPr>
          <w:b/>
          <w:bCs/>
          <w:sz w:val="36"/>
          <w:szCs w:val="36"/>
        </w:rPr>
        <w:t xml:space="preserve">Agricultural Pricing &amp; Export Trends – Turkey vs. India </w:t>
      </w:r>
      <w:r>
        <w:rPr>
          <w:b/>
          <w:bCs/>
          <w:sz w:val="36"/>
          <w:szCs w:val="36"/>
        </w:rPr>
        <w:t xml:space="preserve">Report </w:t>
      </w:r>
      <w:r w:rsidRPr="007D4B6F">
        <w:rPr>
          <w:b/>
          <w:bCs/>
          <w:sz w:val="36"/>
          <w:szCs w:val="36"/>
        </w:rPr>
        <w:t>(2013–2024)</w:t>
      </w:r>
    </w:p>
    <w:p w14:paraId="2F77A36A" w14:textId="77777777" w:rsidR="007D4B6F" w:rsidRDefault="007D4B6F" w:rsidP="007D4B6F">
      <w:pPr>
        <w:rPr>
          <w:b/>
          <w:bCs/>
        </w:rPr>
      </w:pPr>
    </w:p>
    <w:p w14:paraId="6F54350A" w14:textId="68B62A0A" w:rsidR="007D4B6F" w:rsidRPr="007D4B6F" w:rsidRDefault="007D4B6F" w:rsidP="007D4B6F">
      <w:pPr>
        <w:rPr>
          <w:b/>
          <w:bCs/>
        </w:rPr>
      </w:pPr>
      <w:r w:rsidRPr="007D4B6F">
        <w:rPr>
          <w:b/>
          <w:bCs/>
        </w:rPr>
        <w:t>1. Introduction</w:t>
      </w:r>
    </w:p>
    <w:p w14:paraId="0C83B54D" w14:textId="77777777" w:rsidR="007D4B6F" w:rsidRPr="007D4B6F" w:rsidRDefault="007D4B6F" w:rsidP="007D4B6F">
      <w:pPr>
        <w:rPr>
          <w:b/>
          <w:bCs/>
        </w:rPr>
      </w:pPr>
      <w:r w:rsidRPr="007D4B6F">
        <w:rPr>
          <w:b/>
          <w:bCs/>
        </w:rPr>
        <w:t>This report compares agricultural price dynamics and export trends in Turkey and India from 2013 to 2024. It focuses on how domestic pricing, global trade, and policy choices have shaped the agricultural sectors in both countries.</w:t>
      </w:r>
    </w:p>
    <w:p w14:paraId="33CEF768" w14:textId="77777777" w:rsidR="007D4B6F" w:rsidRPr="007D4B6F" w:rsidRDefault="007D4B6F" w:rsidP="007D4B6F">
      <w:pPr>
        <w:rPr>
          <w:b/>
          <w:bCs/>
        </w:rPr>
      </w:pPr>
      <w:r w:rsidRPr="007D4B6F">
        <w:rPr>
          <w:b/>
          <w:bCs/>
        </w:rPr>
        <w:pict w14:anchorId="5728EFF3">
          <v:rect id="_x0000_i1322" style="width:0;height:1.5pt" o:hralign="center" o:hrstd="t" o:hr="t" fillcolor="#a0a0a0" stroked="f"/>
        </w:pict>
      </w:r>
    </w:p>
    <w:p w14:paraId="25F61F9C" w14:textId="77777777" w:rsidR="007D4B6F" w:rsidRPr="007D4B6F" w:rsidRDefault="007D4B6F" w:rsidP="007D4B6F">
      <w:pPr>
        <w:rPr>
          <w:b/>
          <w:bCs/>
        </w:rPr>
      </w:pPr>
      <w:r w:rsidRPr="007D4B6F">
        <w:rPr>
          <w:b/>
          <w:bCs/>
        </w:rPr>
        <w:t>2. Data Summary</w:t>
      </w:r>
    </w:p>
    <w:p w14:paraId="6E275A71" w14:textId="77777777" w:rsidR="007D4B6F" w:rsidRPr="007D4B6F" w:rsidRDefault="007D4B6F" w:rsidP="007D4B6F">
      <w:pPr>
        <w:rPr>
          <w:b/>
          <w:bCs/>
        </w:rPr>
      </w:pPr>
      <w:r w:rsidRPr="007D4B6F">
        <w:rPr>
          <w:b/>
          <w:bCs/>
        </w:rPr>
        <w:t>Turkey</w:t>
      </w:r>
    </w:p>
    <w:p w14:paraId="76C598C8" w14:textId="77777777" w:rsidR="007D4B6F" w:rsidRPr="007D4B6F" w:rsidRDefault="007D4B6F" w:rsidP="007D4B6F">
      <w:pPr>
        <w:numPr>
          <w:ilvl w:val="0"/>
          <w:numId w:val="24"/>
        </w:numPr>
        <w:rPr>
          <w:b/>
          <w:bCs/>
        </w:rPr>
      </w:pPr>
      <w:r w:rsidRPr="007D4B6F">
        <w:rPr>
          <w:b/>
          <w:bCs/>
        </w:rPr>
        <w:t>Price Data: Monthly agricultural price indices (2016–2023) for wheat, cereals, forestry, and crops.</w:t>
      </w:r>
    </w:p>
    <w:p w14:paraId="15833B0D" w14:textId="77777777" w:rsidR="007D4B6F" w:rsidRPr="007D4B6F" w:rsidRDefault="007D4B6F" w:rsidP="007D4B6F">
      <w:pPr>
        <w:numPr>
          <w:ilvl w:val="0"/>
          <w:numId w:val="24"/>
        </w:numPr>
        <w:rPr>
          <w:b/>
          <w:bCs/>
        </w:rPr>
      </w:pPr>
      <w:r w:rsidRPr="007D4B6F">
        <w:rPr>
          <w:b/>
          <w:bCs/>
        </w:rPr>
        <w:t>Exports: Country-level annual export data (2013–2024); major partners include Germany, USA, UK, Iraq.</w:t>
      </w:r>
    </w:p>
    <w:p w14:paraId="667D2814" w14:textId="77777777" w:rsidR="007D4B6F" w:rsidRPr="007D4B6F" w:rsidRDefault="007D4B6F" w:rsidP="007D4B6F">
      <w:pPr>
        <w:rPr>
          <w:b/>
          <w:bCs/>
        </w:rPr>
      </w:pPr>
      <w:r w:rsidRPr="007D4B6F">
        <w:rPr>
          <w:b/>
          <w:bCs/>
        </w:rPr>
        <w:t>India</w:t>
      </w:r>
    </w:p>
    <w:p w14:paraId="6A77769B" w14:textId="77777777" w:rsidR="007D4B6F" w:rsidRPr="007D4B6F" w:rsidRDefault="007D4B6F" w:rsidP="007D4B6F">
      <w:pPr>
        <w:numPr>
          <w:ilvl w:val="0"/>
          <w:numId w:val="25"/>
        </w:numPr>
        <w:rPr>
          <w:b/>
          <w:bCs/>
        </w:rPr>
      </w:pPr>
      <w:r w:rsidRPr="007D4B6F">
        <w:rPr>
          <w:b/>
          <w:bCs/>
        </w:rPr>
        <w:t>Price Data: Daily modal prices in USD/ton for key commodities like wheat, maize, and onions.</w:t>
      </w:r>
    </w:p>
    <w:p w14:paraId="040E155E" w14:textId="77777777" w:rsidR="007D4B6F" w:rsidRPr="007D4B6F" w:rsidRDefault="007D4B6F" w:rsidP="007D4B6F">
      <w:pPr>
        <w:numPr>
          <w:ilvl w:val="0"/>
          <w:numId w:val="25"/>
        </w:numPr>
        <w:rPr>
          <w:b/>
          <w:bCs/>
        </w:rPr>
      </w:pPr>
      <w:r w:rsidRPr="007D4B6F">
        <w:rPr>
          <w:b/>
          <w:bCs/>
        </w:rPr>
        <w:t>Exports: Commodity-level data (e.g., rice, wheat, onions, spices); sourced from FAOSTAT and trade records.</w:t>
      </w:r>
    </w:p>
    <w:p w14:paraId="2B5670B2" w14:textId="77777777" w:rsidR="007D4B6F" w:rsidRPr="007D4B6F" w:rsidRDefault="007D4B6F" w:rsidP="007D4B6F">
      <w:pPr>
        <w:rPr>
          <w:b/>
          <w:bCs/>
        </w:rPr>
      </w:pPr>
      <w:r w:rsidRPr="007D4B6F">
        <w:rPr>
          <w:b/>
          <w:bCs/>
        </w:rPr>
        <w:pict w14:anchorId="588A1C83">
          <v:rect id="_x0000_i1323" style="width:0;height:1.5pt" o:hralign="center" o:hrstd="t" o:hr="t" fillcolor="#a0a0a0" stroked="f"/>
        </w:pict>
      </w:r>
    </w:p>
    <w:p w14:paraId="2E2E2353" w14:textId="77777777" w:rsidR="007D4B6F" w:rsidRPr="007D4B6F" w:rsidRDefault="007D4B6F" w:rsidP="007D4B6F">
      <w:pPr>
        <w:rPr>
          <w:b/>
          <w:bCs/>
        </w:rPr>
      </w:pPr>
      <w:r w:rsidRPr="007D4B6F">
        <w:rPr>
          <w:b/>
          <w:bCs/>
        </w:rPr>
        <w:t>3. Export Trends &amp; Key Insights</w:t>
      </w:r>
    </w:p>
    <w:p w14:paraId="3B0DE5A5" w14:textId="77777777" w:rsidR="007D4B6F" w:rsidRPr="007D4B6F" w:rsidRDefault="007D4B6F" w:rsidP="007D4B6F">
      <w:pPr>
        <w:rPr>
          <w:b/>
          <w:bCs/>
        </w:rPr>
      </w:pPr>
      <w:r w:rsidRPr="007D4B6F">
        <w:rPr>
          <w:rFonts w:ascii="Segoe UI Emoji" w:hAnsi="Segoe UI Emoji" w:cs="Segoe UI Emoji"/>
          <w:b/>
          <w:bCs/>
        </w:rPr>
        <w:t>🟩</w:t>
      </w:r>
      <w:r w:rsidRPr="007D4B6F">
        <w:rPr>
          <w:b/>
          <w:bCs/>
        </w:rPr>
        <w:t xml:space="preserve"> Turkey</w:t>
      </w:r>
    </w:p>
    <w:p w14:paraId="1F2FB127" w14:textId="77777777" w:rsidR="007D4B6F" w:rsidRPr="007D4B6F" w:rsidRDefault="007D4B6F" w:rsidP="007D4B6F">
      <w:pPr>
        <w:numPr>
          <w:ilvl w:val="0"/>
          <w:numId w:val="26"/>
        </w:numPr>
        <w:rPr>
          <w:b/>
          <w:bCs/>
        </w:rPr>
      </w:pPr>
      <w:r w:rsidRPr="007D4B6F">
        <w:rPr>
          <w:b/>
          <w:bCs/>
        </w:rPr>
        <w:t>Export Growth: Total exports grew from ~$161B (2013) to ~$262B (2024), a 62% increase.</w:t>
      </w:r>
    </w:p>
    <w:p w14:paraId="03ABE037" w14:textId="77777777" w:rsidR="007D4B6F" w:rsidRPr="007D4B6F" w:rsidRDefault="007D4B6F" w:rsidP="007D4B6F">
      <w:pPr>
        <w:numPr>
          <w:ilvl w:val="0"/>
          <w:numId w:val="26"/>
        </w:numPr>
        <w:rPr>
          <w:b/>
          <w:bCs/>
        </w:rPr>
      </w:pPr>
      <w:r w:rsidRPr="007D4B6F">
        <w:rPr>
          <w:b/>
          <w:bCs/>
        </w:rPr>
        <w:t>Top Trade Partners: Germany, USA, UK, and Iraq show consistent demand.</w:t>
      </w:r>
    </w:p>
    <w:p w14:paraId="73C5568C" w14:textId="77777777" w:rsidR="007D4B6F" w:rsidRPr="007D4B6F" w:rsidRDefault="007D4B6F" w:rsidP="007D4B6F">
      <w:pPr>
        <w:numPr>
          <w:ilvl w:val="0"/>
          <w:numId w:val="26"/>
        </w:numPr>
        <w:rPr>
          <w:b/>
          <w:bCs/>
        </w:rPr>
      </w:pPr>
      <w:r w:rsidRPr="007D4B6F">
        <w:rPr>
          <w:b/>
          <w:bCs/>
        </w:rPr>
        <w:t>Post-2021 Surge: Exports spiked significantly after 2020, aided by global recovery and stronger trade terms.</w:t>
      </w:r>
    </w:p>
    <w:p w14:paraId="74963E61" w14:textId="77777777" w:rsidR="007D4B6F" w:rsidRPr="007D4B6F" w:rsidRDefault="007D4B6F" w:rsidP="007D4B6F">
      <w:pPr>
        <w:numPr>
          <w:ilvl w:val="0"/>
          <w:numId w:val="26"/>
        </w:numPr>
        <w:rPr>
          <w:b/>
          <w:bCs/>
        </w:rPr>
      </w:pPr>
      <w:r w:rsidRPr="007D4B6F">
        <w:rPr>
          <w:b/>
          <w:bCs/>
        </w:rPr>
        <w:t>Olive Oil Exports: Notable increase in 2023 — aligned with sharp price hikes, signaling strong foreign demand.</w:t>
      </w:r>
    </w:p>
    <w:p w14:paraId="42E40374" w14:textId="77777777" w:rsidR="007D4B6F" w:rsidRPr="007D4B6F" w:rsidRDefault="007D4B6F" w:rsidP="007D4B6F">
      <w:pPr>
        <w:numPr>
          <w:ilvl w:val="0"/>
          <w:numId w:val="26"/>
        </w:numPr>
        <w:rPr>
          <w:b/>
          <w:bCs/>
        </w:rPr>
      </w:pPr>
      <w:r w:rsidRPr="007D4B6F">
        <w:rPr>
          <w:b/>
          <w:bCs/>
        </w:rPr>
        <w:t>Impact on Prices: Rising exports (especially in olive oil and cereals) have contributed to domestic inflation.</w:t>
      </w:r>
    </w:p>
    <w:p w14:paraId="68C4302E" w14:textId="77777777" w:rsidR="007D4B6F" w:rsidRDefault="007D4B6F" w:rsidP="007D4B6F">
      <w:pPr>
        <w:rPr>
          <w:rFonts w:ascii="Segoe UI Emoji" w:hAnsi="Segoe UI Emoji" w:cs="Segoe UI Emoji"/>
          <w:b/>
          <w:bCs/>
        </w:rPr>
      </w:pPr>
    </w:p>
    <w:p w14:paraId="4065487D" w14:textId="3E5BF49E" w:rsidR="007D4B6F" w:rsidRPr="007D4B6F" w:rsidRDefault="007D4B6F" w:rsidP="007D4B6F">
      <w:pPr>
        <w:rPr>
          <w:b/>
          <w:bCs/>
        </w:rPr>
      </w:pPr>
      <w:r w:rsidRPr="007D4B6F">
        <w:rPr>
          <w:rFonts w:ascii="Segoe UI Emoji" w:hAnsi="Segoe UI Emoji" w:cs="Segoe UI Emoji"/>
          <w:b/>
          <w:bCs/>
        </w:rPr>
        <w:lastRenderedPageBreak/>
        <w:t>🟦</w:t>
      </w:r>
      <w:r w:rsidRPr="007D4B6F">
        <w:rPr>
          <w:b/>
          <w:bCs/>
        </w:rPr>
        <w:t xml:space="preserve"> India</w:t>
      </w:r>
    </w:p>
    <w:p w14:paraId="089ACAF7" w14:textId="77777777" w:rsidR="007D4B6F" w:rsidRPr="007D4B6F" w:rsidRDefault="007D4B6F" w:rsidP="007D4B6F">
      <w:pPr>
        <w:numPr>
          <w:ilvl w:val="0"/>
          <w:numId w:val="27"/>
        </w:numPr>
        <w:rPr>
          <w:b/>
          <w:bCs/>
        </w:rPr>
      </w:pPr>
      <w:r w:rsidRPr="007D4B6F">
        <w:rPr>
          <w:b/>
          <w:bCs/>
        </w:rPr>
        <w:t>Export Composition: Major commodities include rice, wheat, spices, and onions. India is a global leader in rice and spice exports.</w:t>
      </w:r>
    </w:p>
    <w:p w14:paraId="35691A42" w14:textId="77777777" w:rsidR="007D4B6F" w:rsidRPr="007D4B6F" w:rsidRDefault="007D4B6F" w:rsidP="007D4B6F">
      <w:pPr>
        <w:numPr>
          <w:ilvl w:val="0"/>
          <w:numId w:val="27"/>
        </w:numPr>
        <w:rPr>
          <w:b/>
          <w:bCs/>
        </w:rPr>
      </w:pPr>
      <w:r w:rsidRPr="007D4B6F">
        <w:rPr>
          <w:b/>
          <w:bCs/>
        </w:rPr>
        <w:t>Onion Volatility: Frequent export bans due to domestic price surges (e.g., 2019) cause sharp fluctuations in trade.</w:t>
      </w:r>
    </w:p>
    <w:p w14:paraId="1C21161E" w14:textId="77777777" w:rsidR="007D4B6F" w:rsidRPr="007D4B6F" w:rsidRDefault="007D4B6F" w:rsidP="007D4B6F">
      <w:pPr>
        <w:numPr>
          <w:ilvl w:val="0"/>
          <w:numId w:val="27"/>
        </w:numPr>
        <w:rPr>
          <w:b/>
          <w:bCs/>
        </w:rPr>
      </w:pPr>
      <w:r w:rsidRPr="007D4B6F">
        <w:rPr>
          <w:b/>
          <w:bCs/>
        </w:rPr>
        <w:t>Stable Commodities: Wheat and maize exports have remained relatively steady, reflecting balanced supply.</w:t>
      </w:r>
    </w:p>
    <w:p w14:paraId="3C5A42F5" w14:textId="77777777" w:rsidR="007D4B6F" w:rsidRPr="007D4B6F" w:rsidRDefault="007D4B6F" w:rsidP="007D4B6F">
      <w:pPr>
        <w:numPr>
          <w:ilvl w:val="0"/>
          <w:numId w:val="27"/>
        </w:numPr>
        <w:rPr>
          <w:b/>
          <w:bCs/>
        </w:rPr>
      </w:pPr>
      <w:r w:rsidRPr="007D4B6F">
        <w:rPr>
          <w:b/>
          <w:bCs/>
        </w:rPr>
        <w:t>Policy-Driven: Government uses exports as a tool to control inflation and ensure domestic food security.</w:t>
      </w:r>
    </w:p>
    <w:p w14:paraId="6DC78479" w14:textId="77777777" w:rsidR="007D4B6F" w:rsidRPr="007D4B6F" w:rsidRDefault="007D4B6F" w:rsidP="007D4B6F">
      <w:pPr>
        <w:rPr>
          <w:b/>
          <w:bCs/>
        </w:rPr>
      </w:pPr>
      <w:r w:rsidRPr="007D4B6F">
        <w:rPr>
          <w:b/>
          <w:bCs/>
        </w:rPr>
        <w:pict w14:anchorId="4574A242">
          <v:rect id="_x0000_i1324" style="width:0;height:1.5pt" o:hralign="center" o:hrstd="t" o:hr="t" fillcolor="#a0a0a0" stroked="f"/>
        </w:pict>
      </w:r>
    </w:p>
    <w:tbl>
      <w:tblPr>
        <w:tblStyle w:val="TableGrid"/>
        <w:tblW w:w="0" w:type="auto"/>
        <w:tblLook w:val="04A0" w:firstRow="1" w:lastRow="0" w:firstColumn="1" w:lastColumn="0" w:noHBand="0" w:noVBand="1"/>
      </w:tblPr>
      <w:tblGrid>
        <w:gridCol w:w="9350"/>
      </w:tblGrid>
      <w:tr w:rsidR="007D4B6F" w:rsidRPr="007D4B6F" w14:paraId="66B79321" w14:textId="77777777" w:rsidTr="007D4B6F">
        <w:tc>
          <w:tcPr>
            <w:tcW w:w="9350" w:type="dxa"/>
          </w:tcPr>
          <w:p w14:paraId="34A63121" w14:textId="77777777" w:rsidR="007D4B6F" w:rsidRPr="007D4B6F" w:rsidRDefault="007D4B6F" w:rsidP="001C7B62">
            <w:pPr>
              <w:rPr>
                <w:b/>
                <w:bCs/>
              </w:rPr>
            </w:pPr>
            <w:r w:rsidRPr="007D4B6F">
              <w:rPr>
                <w:b/>
                <w:bCs/>
              </w:rPr>
              <w:t>4. Comparative Insights</w:t>
            </w:r>
          </w:p>
        </w:tc>
      </w:tr>
      <w:tr w:rsidR="007D4B6F" w14:paraId="4C4E8701" w14:textId="77777777" w:rsidTr="007D4B6F">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gridCol w:w="3449"/>
              <w:gridCol w:w="4151"/>
            </w:tblGrid>
            <w:tr w:rsidR="007D4B6F" w:rsidRPr="007D4B6F" w14:paraId="47756FBB" w14:textId="77777777" w:rsidTr="001C7B62">
              <w:trPr>
                <w:tblHeader/>
                <w:tblCellSpacing w:w="15" w:type="dxa"/>
              </w:trPr>
              <w:tc>
                <w:tcPr>
                  <w:tcW w:w="0" w:type="auto"/>
                  <w:vAlign w:val="center"/>
                  <w:hideMark/>
                </w:tcPr>
                <w:p w14:paraId="2B945885" w14:textId="77777777" w:rsidR="007D4B6F" w:rsidRPr="007D4B6F" w:rsidRDefault="007D4B6F" w:rsidP="001C7B62">
                  <w:pPr>
                    <w:rPr>
                      <w:b/>
                      <w:bCs/>
                    </w:rPr>
                  </w:pPr>
                  <w:r w:rsidRPr="007D4B6F">
                    <w:rPr>
                      <w:b/>
                      <w:bCs/>
                    </w:rPr>
                    <w:t>Aspect</w:t>
                  </w:r>
                </w:p>
              </w:tc>
              <w:tc>
                <w:tcPr>
                  <w:tcW w:w="0" w:type="auto"/>
                  <w:vAlign w:val="center"/>
                  <w:hideMark/>
                </w:tcPr>
                <w:p w14:paraId="75149FA2" w14:textId="77777777" w:rsidR="007D4B6F" w:rsidRPr="007D4B6F" w:rsidRDefault="007D4B6F" w:rsidP="001C7B62">
                  <w:pPr>
                    <w:rPr>
                      <w:b/>
                      <w:bCs/>
                    </w:rPr>
                  </w:pPr>
                  <w:r w:rsidRPr="007D4B6F">
                    <w:rPr>
                      <w:b/>
                      <w:bCs/>
                    </w:rPr>
                    <w:t>Turkey</w:t>
                  </w:r>
                </w:p>
              </w:tc>
              <w:tc>
                <w:tcPr>
                  <w:tcW w:w="0" w:type="auto"/>
                  <w:vAlign w:val="center"/>
                  <w:hideMark/>
                </w:tcPr>
                <w:p w14:paraId="333D0855" w14:textId="77777777" w:rsidR="007D4B6F" w:rsidRPr="007D4B6F" w:rsidRDefault="007D4B6F" w:rsidP="001C7B62">
                  <w:pPr>
                    <w:rPr>
                      <w:b/>
                      <w:bCs/>
                    </w:rPr>
                  </w:pPr>
                  <w:r w:rsidRPr="007D4B6F">
                    <w:rPr>
                      <w:b/>
                      <w:bCs/>
                    </w:rPr>
                    <w:t>India</w:t>
                  </w:r>
                </w:p>
              </w:tc>
            </w:tr>
            <w:tr w:rsidR="007D4B6F" w:rsidRPr="007D4B6F" w14:paraId="029768FE" w14:textId="77777777" w:rsidTr="001C7B62">
              <w:trPr>
                <w:tblCellSpacing w:w="15" w:type="dxa"/>
              </w:trPr>
              <w:tc>
                <w:tcPr>
                  <w:tcW w:w="0" w:type="auto"/>
                  <w:vAlign w:val="center"/>
                  <w:hideMark/>
                </w:tcPr>
                <w:p w14:paraId="7F4C4461" w14:textId="77777777" w:rsidR="007D4B6F" w:rsidRPr="007D4B6F" w:rsidRDefault="007D4B6F" w:rsidP="001C7B62">
                  <w:pPr>
                    <w:rPr>
                      <w:b/>
                      <w:bCs/>
                    </w:rPr>
                  </w:pPr>
                  <w:r w:rsidRPr="007D4B6F">
                    <w:rPr>
                      <w:b/>
                      <w:bCs/>
                    </w:rPr>
                    <w:t>Export Timeline</w:t>
                  </w:r>
                </w:p>
              </w:tc>
              <w:tc>
                <w:tcPr>
                  <w:tcW w:w="0" w:type="auto"/>
                  <w:vAlign w:val="center"/>
                  <w:hideMark/>
                </w:tcPr>
                <w:p w14:paraId="2BE82936" w14:textId="77777777" w:rsidR="007D4B6F" w:rsidRPr="007D4B6F" w:rsidRDefault="007D4B6F" w:rsidP="001C7B62">
                  <w:pPr>
                    <w:rPr>
                      <w:b/>
                      <w:bCs/>
                    </w:rPr>
                  </w:pPr>
                  <w:r w:rsidRPr="007D4B6F">
                    <w:rPr>
                      <w:b/>
                      <w:bCs/>
                    </w:rPr>
                    <w:t>2013–2024, detailed by country</w:t>
                  </w:r>
                </w:p>
              </w:tc>
              <w:tc>
                <w:tcPr>
                  <w:tcW w:w="0" w:type="auto"/>
                  <w:vAlign w:val="center"/>
                  <w:hideMark/>
                </w:tcPr>
                <w:p w14:paraId="0481CCB8" w14:textId="77777777" w:rsidR="007D4B6F" w:rsidRPr="007D4B6F" w:rsidRDefault="007D4B6F" w:rsidP="001C7B62">
                  <w:pPr>
                    <w:rPr>
                      <w:b/>
                      <w:bCs/>
                    </w:rPr>
                  </w:pPr>
                  <w:r w:rsidRPr="007D4B6F">
                    <w:rPr>
                      <w:b/>
                      <w:bCs/>
                    </w:rPr>
                    <w:t>Commodity-focused, less consistent time granularity</w:t>
                  </w:r>
                </w:p>
              </w:tc>
            </w:tr>
            <w:tr w:rsidR="007D4B6F" w:rsidRPr="007D4B6F" w14:paraId="1B178DEC" w14:textId="77777777" w:rsidTr="001C7B62">
              <w:trPr>
                <w:tblCellSpacing w:w="15" w:type="dxa"/>
              </w:trPr>
              <w:tc>
                <w:tcPr>
                  <w:tcW w:w="0" w:type="auto"/>
                  <w:vAlign w:val="center"/>
                  <w:hideMark/>
                </w:tcPr>
                <w:p w14:paraId="05A389F4" w14:textId="77777777" w:rsidR="007D4B6F" w:rsidRPr="007D4B6F" w:rsidRDefault="007D4B6F" w:rsidP="001C7B62">
                  <w:pPr>
                    <w:rPr>
                      <w:b/>
                      <w:bCs/>
                    </w:rPr>
                  </w:pPr>
                  <w:r w:rsidRPr="007D4B6F">
                    <w:rPr>
                      <w:b/>
                      <w:bCs/>
                    </w:rPr>
                    <w:t>Export Trend</w:t>
                  </w:r>
                </w:p>
              </w:tc>
              <w:tc>
                <w:tcPr>
                  <w:tcW w:w="0" w:type="auto"/>
                  <w:vAlign w:val="center"/>
                  <w:hideMark/>
                </w:tcPr>
                <w:p w14:paraId="6DF01987" w14:textId="77777777" w:rsidR="007D4B6F" w:rsidRPr="007D4B6F" w:rsidRDefault="007D4B6F" w:rsidP="001C7B62">
                  <w:pPr>
                    <w:rPr>
                      <w:b/>
                      <w:bCs/>
                    </w:rPr>
                  </w:pPr>
                  <w:r w:rsidRPr="007D4B6F">
                    <w:rPr>
                      <w:b/>
                      <w:bCs/>
                    </w:rPr>
                    <w:t>Consistent growth, especially post-2020</w:t>
                  </w:r>
                </w:p>
              </w:tc>
              <w:tc>
                <w:tcPr>
                  <w:tcW w:w="0" w:type="auto"/>
                  <w:vAlign w:val="center"/>
                  <w:hideMark/>
                </w:tcPr>
                <w:p w14:paraId="2F10303E" w14:textId="77777777" w:rsidR="007D4B6F" w:rsidRPr="007D4B6F" w:rsidRDefault="007D4B6F" w:rsidP="001C7B62">
                  <w:pPr>
                    <w:rPr>
                      <w:b/>
                      <w:bCs/>
                    </w:rPr>
                  </w:pPr>
                  <w:r w:rsidRPr="007D4B6F">
                    <w:rPr>
                      <w:b/>
                      <w:bCs/>
                    </w:rPr>
                    <w:t>Volatile; export bans affect consistency</w:t>
                  </w:r>
                </w:p>
              </w:tc>
            </w:tr>
            <w:tr w:rsidR="007D4B6F" w:rsidRPr="007D4B6F" w14:paraId="73605FD5" w14:textId="77777777" w:rsidTr="001C7B62">
              <w:trPr>
                <w:tblCellSpacing w:w="15" w:type="dxa"/>
              </w:trPr>
              <w:tc>
                <w:tcPr>
                  <w:tcW w:w="0" w:type="auto"/>
                  <w:vAlign w:val="center"/>
                  <w:hideMark/>
                </w:tcPr>
                <w:p w14:paraId="71AC5094" w14:textId="77777777" w:rsidR="007D4B6F" w:rsidRPr="007D4B6F" w:rsidRDefault="007D4B6F" w:rsidP="001C7B62">
                  <w:pPr>
                    <w:rPr>
                      <w:b/>
                      <w:bCs/>
                    </w:rPr>
                  </w:pPr>
                  <w:r w:rsidRPr="007D4B6F">
                    <w:rPr>
                      <w:b/>
                      <w:bCs/>
                    </w:rPr>
                    <w:t>Policy Role</w:t>
                  </w:r>
                </w:p>
              </w:tc>
              <w:tc>
                <w:tcPr>
                  <w:tcW w:w="0" w:type="auto"/>
                  <w:vAlign w:val="center"/>
                  <w:hideMark/>
                </w:tcPr>
                <w:p w14:paraId="7A9C204B" w14:textId="77777777" w:rsidR="007D4B6F" w:rsidRPr="007D4B6F" w:rsidRDefault="007D4B6F" w:rsidP="001C7B62">
                  <w:pPr>
                    <w:rPr>
                      <w:b/>
                      <w:bCs/>
                    </w:rPr>
                  </w:pPr>
                  <w:r w:rsidRPr="007D4B6F">
                    <w:rPr>
                      <w:b/>
                      <w:bCs/>
                    </w:rPr>
                    <w:t>Minimal restrictions; market-driven exports</w:t>
                  </w:r>
                </w:p>
              </w:tc>
              <w:tc>
                <w:tcPr>
                  <w:tcW w:w="0" w:type="auto"/>
                  <w:vAlign w:val="center"/>
                  <w:hideMark/>
                </w:tcPr>
                <w:p w14:paraId="528FD80E" w14:textId="77777777" w:rsidR="007D4B6F" w:rsidRPr="007D4B6F" w:rsidRDefault="007D4B6F" w:rsidP="001C7B62">
                  <w:pPr>
                    <w:rPr>
                      <w:b/>
                      <w:bCs/>
                    </w:rPr>
                  </w:pPr>
                  <w:r w:rsidRPr="007D4B6F">
                    <w:rPr>
                      <w:b/>
                      <w:bCs/>
                    </w:rPr>
                    <w:t>High intervention during price surges</w:t>
                  </w:r>
                </w:p>
              </w:tc>
            </w:tr>
            <w:tr w:rsidR="007D4B6F" w:rsidRPr="007D4B6F" w14:paraId="30C1465B" w14:textId="77777777" w:rsidTr="001C7B62">
              <w:trPr>
                <w:tblCellSpacing w:w="15" w:type="dxa"/>
              </w:trPr>
              <w:tc>
                <w:tcPr>
                  <w:tcW w:w="0" w:type="auto"/>
                  <w:vAlign w:val="center"/>
                  <w:hideMark/>
                </w:tcPr>
                <w:p w14:paraId="53496AE9" w14:textId="77777777" w:rsidR="007D4B6F" w:rsidRPr="007D4B6F" w:rsidRDefault="007D4B6F" w:rsidP="001C7B62">
                  <w:pPr>
                    <w:rPr>
                      <w:b/>
                      <w:bCs/>
                    </w:rPr>
                  </w:pPr>
                  <w:r w:rsidRPr="007D4B6F">
                    <w:rPr>
                      <w:b/>
                      <w:bCs/>
                    </w:rPr>
                    <w:t>Price-Export Link</w:t>
                  </w:r>
                </w:p>
              </w:tc>
              <w:tc>
                <w:tcPr>
                  <w:tcW w:w="0" w:type="auto"/>
                  <w:vAlign w:val="center"/>
                  <w:hideMark/>
                </w:tcPr>
                <w:p w14:paraId="4297424A" w14:textId="77777777" w:rsidR="007D4B6F" w:rsidRPr="007D4B6F" w:rsidRDefault="007D4B6F" w:rsidP="001C7B62">
                  <w:pPr>
                    <w:rPr>
                      <w:b/>
                      <w:bCs/>
                    </w:rPr>
                  </w:pPr>
                  <w:r w:rsidRPr="007D4B6F">
                    <w:rPr>
                      <w:b/>
                      <w:bCs/>
                    </w:rPr>
                    <w:t>Rising prices often follow export growth</w:t>
                  </w:r>
                </w:p>
              </w:tc>
              <w:tc>
                <w:tcPr>
                  <w:tcW w:w="0" w:type="auto"/>
                  <w:vAlign w:val="center"/>
                  <w:hideMark/>
                </w:tcPr>
                <w:p w14:paraId="3FD6DBF6" w14:textId="77777777" w:rsidR="007D4B6F" w:rsidRPr="007D4B6F" w:rsidRDefault="007D4B6F" w:rsidP="001C7B62">
                  <w:pPr>
                    <w:rPr>
                      <w:b/>
                      <w:bCs/>
                    </w:rPr>
                  </w:pPr>
                  <w:r w:rsidRPr="007D4B6F">
                    <w:rPr>
                      <w:b/>
                      <w:bCs/>
                    </w:rPr>
                    <w:t>Prices dictate whether exports are allowed</w:t>
                  </w:r>
                </w:p>
              </w:tc>
            </w:tr>
            <w:tr w:rsidR="007D4B6F" w:rsidRPr="007D4B6F" w14:paraId="17BFB8B6" w14:textId="77777777" w:rsidTr="001C7B62">
              <w:trPr>
                <w:tblCellSpacing w:w="15" w:type="dxa"/>
              </w:trPr>
              <w:tc>
                <w:tcPr>
                  <w:tcW w:w="0" w:type="auto"/>
                  <w:vAlign w:val="center"/>
                  <w:hideMark/>
                </w:tcPr>
                <w:p w14:paraId="01B4F0AC" w14:textId="77777777" w:rsidR="007D4B6F" w:rsidRPr="007D4B6F" w:rsidRDefault="007D4B6F" w:rsidP="001C7B62">
                  <w:pPr>
                    <w:rPr>
                      <w:b/>
                      <w:bCs/>
                    </w:rPr>
                  </w:pPr>
                  <w:r w:rsidRPr="007D4B6F">
                    <w:rPr>
                      <w:b/>
                      <w:bCs/>
                    </w:rPr>
                    <w:t>Trade Stability</w:t>
                  </w:r>
                </w:p>
              </w:tc>
              <w:tc>
                <w:tcPr>
                  <w:tcW w:w="0" w:type="auto"/>
                  <w:vAlign w:val="center"/>
                  <w:hideMark/>
                </w:tcPr>
                <w:p w14:paraId="1581A145" w14:textId="77777777" w:rsidR="007D4B6F" w:rsidRPr="007D4B6F" w:rsidRDefault="007D4B6F" w:rsidP="001C7B62">
                  <w:pPr>
                    <w:rPr>
                      <w:b/>
                      <w:bCs/>
                    </w:rPr>
                  </w:pPr>
                  <w:r w:rsidRPr="007D4B6F">
                    <w:rPr>
                      <w:b/>
                      <w:bCs/>
                    </w:rPr>
                    <w:t>Strong bilateral trade (Germany, USA)</w:t>
                  </w:r>
                </w:p>
              </w:tc>
              <w:tc>
                <w:tcPr>
                  <w:tcW w:w="0" w:type="auto"/>
                  <w:vAlign w:val="center"/>
                  <w:hideMark/>
                </w:tcPr>
                <w:p w14:paraId="2914A30B" w14:textId="77777777" w:rsidR="007D4B6F" w:rsidRPr="007D4B6F" w:rsidRDefault="007D4B6F" w:rsidP="001C7B62">
                  <w:pPr>
                    <w:rPr>
                      <w:b/>
                      <w:bCs/>
                    </w:rPr>
                  </w:pPr>
                  <w:r w:rsidRPr="007D4B6F">
                    <w:rPr>
                      <w:b/>
                      <w:bCs/>
                    </w:rPr>
                    <w:t>Unstable, especially for sensitive crops (onion)</w:t>
                  </w:r>
                </w:p>
              </w:tc>
            </w:tr>
            <w:tr w:rsidR="007D4B6F" w:rsidRPr="007D4B6F" w14:paraId="21DDB5A3" w14:textId="77777777" w:rsidTr="001C7B62">
              <w:trPr>
                <w:tblCellSpacing w:w="15" w:type="dxa"/>
              </w:trPr>
              <w:tc>
                <w:tcPr>
                  <w:tcW w:w="0" w:type="auto"/>
                  <w:vAlign w:val="center"/>
                  <w:hideMark/>
                </w:tcPr>
                <w:p w14:paraId="311DDE2F" w14:textId="77777777" w:rsidR="007D4B6F" w:rsidRPr="007D4B6F" w:rsidRDefault="007D4B6F" w:rsidP="001C7B62">
                  <w:pPr>
                    <w:rPr>
                      <w:b/>
                      <w:bCs/>
                    </w:rPr>
                  </w:pPr>
                  <w:r w:rsidRPr="007D4B6F">
                    <w:rPr>
                      <w:b/>
                      <w:bCs/>
                    </w:rPr>
                    <w:t>Key Products</w:t>
                  </w:r>
                </w:p>
              </w:tc>
              <w:tc>
                <w:tcPr>
                  <w:tcW w:w="0" w:type="auto"/>
                  <w:vAlign w:val="center"/>
                  <w:hideMark/>
                </w:tcPr>
                <w:p w14:paraId="61E17029" w14:textId="77777777" w:rsidR="007D4B6F" w:rsidRPr="007D4B6F" w:rsidRDefault="007D4B6F" w:rsidP="001C7B62">
                  <w:pPr>
                    <w:rPr>
                      <w:b/>
                      <w:bCs/>
                    </w:rPr>
                  </w:pPr>
                  <w:r w:rsidRPr="007D4B6F">
                    <w:rPr>
                      <w:b/>
                      <w:bCs/>
                    </w:rPr>
                    <w:t>Olive oil, cereals, industrial-</w:t>
                  </w:r>
                  <w:proofErr w:type="spellStart"/>
                  <w:r w:rsidRPr="007D4B6F">
                    <w:rPr>
                      <w:b/>
                      <w:bCs/>
                    </w:rPr>
                    <w:t>agri</w:t>
                  </w:r>
                  <w:proofErr w:type="spellEnd"/>
                  <w:r w:rsidRPr="007D4B6F">
                    <w:rPr>
                      <w:b/>
                      <w:bCs/>
                    </w:rPr>
                    <w:t xml:space="preserve"> mix</w:t>
                  </w:r>
                </w:p>
              </w:tc>
              <w:tc>
                <w:tcPr>
                  <w:tcW w:w="0" w:type="auto"/>
                  <w:vAlign w:val="center"/>
                  <w:hideMark/>
                </w:tcPr>
                <w:p w14:paraId="2098D2DA" w14:textId="77777777" w:rsidR="007D4B6F" w:rsidRPr="007D4B6F" w:rsidRDefault="007D4B6F" w:rsidP="001C7B62">
                  <w:pPr>
                    <w:rPr>
                      <w:b/>
                      <w:bCs/>
                    </w:rPr>
                  </w:pPr>
                  <w:r w:rsidRPr="007D4B6F">
                    <w:rPr>
                      <w:b/>
                      <w:bCs/>
                    </w:rPr>
                    <w:t>Rice, wheat, onions, spices</w:t>
                  </w:r>
                </w:p>
              </w:tc>
            </w:tr>
          </w:tbl>
          <w:p w14:paraId="518DE9C8" w14:textId="77777777" w:rsidR="007D4B6F" w:rsidRDefault="007D4B6F"/>
        </w:tc>
      </w:tr>
    </w:tbl>
    <w:p w14:paraId="6C13DAFF" w14:textId="5E402442" w:rsidR="007D4B6F" w:rsidRPr="007D4B6F" w:rsidRDefault="007D4B6F" w:rsidP="007D4B6F">
      <w:pPr>
        <w:rPr>
          <w:b/>
          <w:bCs/>
        </w:rPr>
      </w:pPr>
    </w:p>
    <w:p w14:paraId="6DF4CC49" w14:textId="77777777" w:rsidR="007D4B6F" w:rsidRDefault="007D4B6F" w:rsidP="007D4B6F">
      <w:pPr>
        <w:rPr>
          <w:b/>
          <w:bCs/>
        </w:rPr>
      </w:pPr>
    </w:p>
    <w:p w14:paraId="42C118BF" w14:textId="77777777" w:rsidR="007D4B6F" w:rsidRDefault="007D4B6F" w:rsidP="007D4B6F">
      <w:pPr>
        <w:rPr>
          <w:b/>
          <w:bCs/>
        </w:rPr>
      </w:pPr>
    </w:p>
    <w:p w14:paraId="01D4EB38" w14:textId="77777777" w:rsidR="007D4B6F" w:rsidRDefault="007D4B6F" w:rsidP="007D4B6F">
      <w:pPr>
        <w:rPr>
          <w:b/>
          <w:bCs/>
        </w:rPr>
      </w:pPr>
    </w:p>
    <w:p w14:paraId="0B3B78D6" w14:textId="77777777" w:rsidR="007D4B6F" w:rsidRDefault="007D4B6F" w:rsidP="007D4B6F">
      <w:pPr>
        <w:rPr>
          <w:b/>
          <w:bCs/>
        </w:rPr>
      </w:pPr>
    </w:p>
    <w:p w14:paraId="60FCBDB8" w14:textId="77777777" w:rsidR="007D4B6F" w:rsidRDefault="007D4B6F" w:rsidP="007D4B6F">
      <w:pPr>
        <w:rPr>
          <w:b/>
          <w:bCs/>
        </w:rPr>
      </w:pPr>
    </w:p>
    <w:p w14:paraId="3F18EFB9" w14:textId="77777777" w:rsidR="007D4B6F" w:rsidRDefault="007D4B6F" w:rsidP="007D4B6F">
      <w:pPr>
        <w:rPr>
          <w:b/>
          <w:bCs/>
        </w:rPr>
      </w:pPr>
    </w:p>
    <w:p w14:paraId="4100FEEA" w14:textId="77777777" w:rsidR="007D4B6F" w:rsidRDefault="007D4B6F" w:rsidP="007D4B6F">
      <w:pPr>
        <w:rPr>
          <w:b/>
          <w:bCs/>
        </w:rPr>
      </w:pPr>
    </w:p>
    <w:p w14:paraId="50C549BE" w14:textId="3AB15B1B" w:rsidR="007D4B6F" w:rsidRPr="007D4B6F" w:rsidRDefault="007D4B6F" w:rsidP="007D4B6F">
      <w:pPr>
        <w:rPr>
          <w:b/>
          <w:bCs/>
        </w:rPr>
      </w:pPr>
      <w:r w:rsidRPr="007D4B6F">
        <w:rPr>
          <w:b/>
          <w:bCs/>
        </w:rPr>
        <w:lastRenderedPageBreak/>
        <w:t>5. Conclusions</w:t>
      </w:r>
    </w:p>
    <w:p w14:paraId="3BAAE773" w14:textId="77777777" w:rsidR="007D4B6F" w:rsidRPr="007D4B6F" w:rsidRDefault="007D4B6F" w:rsidP="007D4B6F">
      <w:pPr>
        <w:numPr>
          <w:ilvl w:val="0"/>
          <w:numId w:val="28"/>
        </w:numPr>
        <w:rPr>
          <w:b/>
          <w:bCs/>
        </w:rPr>
      </w:pPr>
      <w:r w:rsidRPr="007D4B6F">
        <w:rPr>
          <w:b/>
          <w:bCs/>
        </w:rPr>
        <w:t>Turkey shows strategic export growth and price responsiveness to global demand — but this may elevate domestic food prices.</w:t>
      </w:r>
    </w:p>
    <w:p w14:paraId="267DF00F" w14:textId="77777777" w:rsidR="007D4B6F" w:rsidRPr="007D4B6F" w:rsidRDefault="007D4B6F" w:rsidP="007D4B6F">
      <w:pPr>
        <w:numPr>
          <w:ilvl w:val="0"/>
          <w:numId w:val="28"/>
        </w:numPr>
        <w:rPr>
          <w:b/>
          <w:bCs/>
        </w:rPr>
      </w:pPr>
      <w:r w:rsidRPr="007D4B6F">
        <w:rPr>
          <w:b/>
          <w:bCs/>
        </w:rPr>
        <w:t>India focuses on protecting domestic affordability, using policy tools like export bans — ensuring internal stability at the cost of export momentum.</w:t>
      </w:r>
    </w:p>
    <w:p w14:paraId="486F3BA7" w14:textId="77777777" w:rsidR="007D4B6F" w:rsidRPr="007D4B6F" w:rsidRDefault="007D4B6F" w:rsidP="007D4B6F">
      <w:pPr>
        <w:numPr>
          <w:ilvl w:val="0"/>
          <w:numId w:val="28"/>
        </w:numPr>
        <w:rPr>
          <w:b/>
          <w:bCs/>
        </w:rPr>
      </w:pPr>
      <w:r w:rsidRPr="007D4B6F">
        <w:rPr>
          <w:b/>
          <w:bCs/>
        </w:rPr>
        <w:t>Both countries face trade-offs between export revenue and domestic affordability.</w:t>
      </w:r>
    </w:p>
    <w:p w14:paraId="6E504517" w14:textId="77777777" w:rsidR="007D4B6F" w:rsidRPr="007D4B6F" w:rsidRDefault="007D4B6F" w:rsidP="007D4B6F">
      <w:pPr>
        <w:rPr>
          <w:b/>
          <w:bCs/>
        </w:rPr>
      </w:pPr>
      <w:r w:rsidRPr="007D4B6F">
        <w:rPr>
          <w:b/>
          <w:bCs/>
        </w:rPr>
        <w:pict w14:anchorId="561FADC9">
          <v:rect id="_x0000_i1326" style="width:0;height:1.5pt" o:hralign="center" o:hrstd="t" o:hr="t" fillcolor="#a0a0a0" stroked="f"/>
        </w:pict>
      </w:r>
    </w:p>
    <w:p w14:paraId="187771E1" w14:textId="77777777" w:rsidR="007D4B6F" w:rsidRPr="007D4B6F" w:rsidRDefault="007D4B6F" w:rsidP="007D4B6F">
      <w:pPr>
        <w:rPr>
          <w:b/>
          <w:bCs/>
        </w:rPr>
      </w:pPr>
      <w:r w:rsidRPr="007D4B6F">
        <w:rPr>
          <w:b/>
          <w:bCs/>
        </w:rPr>
        <w:t>6. Recommendations</w:t>
      </w:r>
    </w:p>
    <w:p w14:paraId="39587538" w14:textId="77777777" w:rsidR="007D4B6F" w:rsidRPr="007D4B6F" w:rsidRDefault="007D4B6F" w:rsidP="007D4B6F">
      <w:pPr>
        <w:numPr>
          <w:ilvl w:val="0"/>
          <w:numId w:val="29"/>
        </w:numPr>
        <w:rPr>
          <w:b/>
          <w:bCs/>
        </w:rPr>
      </w:pPr>
      <w:r w:rsidRPr="007D4B6F">
        <w:rPr>
          <w:b/>
          <w:bCs/>
        </w:rPr>
        <w:t>India: Develop export-friendly policies that allow flexibility during inflation without full bans — e.g., export quotas or minimum buffer stock.</w:t>
      </w:r>
    </w:p>
    <w:p w14:paraId="1195ACD4" w14:textId="77777777" w:rsidR="007D4B6F" w:rsidRPr="007D4B6F" w:rsidRDefault="007D4B6F" w:rsidP="007D4B6F">
      <w:pPr>
        <w:numPr>
          <w:ilvl w:val="0"/>
          <w:numId w:val="29"/>
        </w:numPr>
        <w:rPr>
          <w:b/>
          <w:bCs/>
        </w:rPr>
      </w:pPr>
      <w:r w:rsidRPr="007D4B6F">
        <w:rPr>
          <w:b/>
          <w:bCs/>
        </w:rPr>
        <w:t>Turkey: Monitor export-driven inflation in staple crops and invest in value-added agriculture (e.g., packaged olive oil, organic grains).</w:t>
      </w:r>
    </w:p>
    <w:p w14:paraId="3613FF6F" w14:textId="77777777" w:rsidR="007D4B6F" w:rsidRPr="007D4B6F" w:rsidRDefault="007D4B6F" w:rsidP="007D4B6F">
      <w:pPr>
        <w:numPr>
          <w:ilvl w:val="0"/>
          <w:numId w:val="29"/>
        </w:numPr>
        <w:rPr>
          <w:b/>
          <w:bCs/>
        </w:rPr>
      </w:pPr>
      <w:r w:rsidRPr="007D4B6F">
        <w:rPr>
          <w:b/>
          <w:bCs/>
        </w:rPr>
        <w:t>Future Work: Link export data with production levels to assess whether trade growth is sustainable or depleting domestic reserves.</w:t>
      </w:r>
    </w:p>
    <w:p w14:paraId="45A59E11" w14:textId="77777777" w:rsidR="00021821" w:rsidRPr="007D4B6F" w:rsidRDefault="00021821" w:rsidP="007D4B6F"/>
    <w:sectPr w:rsidR="00021821" w:rsidRPr="007D4B6F" w:rsidSect="007D4B6F">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C5834C" w14:textId="77777777" w:rsidR="008C0F38" w:rsidRDefault="008C0F38" w:rsidP="007D4B6F">
      <w:pPr>
        <w:spacing w:after="0" w:line="240" w:lineRule="auto"/>
      </w:pPr>
      <w:r>
        <w:separator/>
      </w:r>
    </w:p>
  </w:endnote>
  <w:endnote w:type="continuationSeparator" w:id="0">
    <w:p w14:paraId="741F06FD" w14:textId="77777777" w:rsidR="008C0F38" w:rsidRDefault="008C0F38" w:rsidP="007D4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C2F103" w14:textId="77777777" w:rsidR="008C0F38" w:rsidRDefault="008C0F38" w:rsidP="007D4B6F">
      <w:pPr>
        <w:spacing w:after="0" w:line="240" w:lineRule="auto"/>
      </w:pPr>
      <w:r>
        <w:separator/>
      </w:r>
    </w:p>
  </w:footnote>
  <w:footnote w:type="continuationSeparator" w:id="0">
    <w:p w14:paraId="104FEA6D" w14:textId="77777777" w:rsidR="008C0F38" w:rsidRDefault="008C0F38" w:rsidP="007D4B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45E7"/>
    <w:multiLevelType w:val="multilevel"/>
    <w:tmpl w:val="E1AA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75D4D"/>
    <w:multiLevelType w:val="multilevel"/>
    <w:tmpl w:val="38E0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A0AEE"/>
    <w:multiLevelType w:val="multilevel"/>
    <w:tmpl w:val="FAC6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02667"/>
    <w:multiLevelType w:val="multilevel"/>
    <w:tmpl w:val="E1040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57FD3"/>
    <w:multiLevelType w:val="multilevel"/>
    <w:tmpl w:val="2BFCD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F55C1"/>
    <w:multiLevelType w:val="multilevel"/>
    <w:tmpl w:val="3ADC8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A6E6C"/>
    <w:multiLevelType w:val="multilevel"/>
    <w:tmpl w:val="0BE2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A1D1E"/>
    <w:multiLevelType w:val="multilevel"/>
    <w:tmpl w:val="642C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D28DB"/>
    <w:multiLevelType w:val="multilevel"/>
    <w:tmpl w:val="06FE7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7F5FD2"/>
    <w:multiLevelType w:val="multilevel"/>
    <w:tmpl w:val="A342B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A11F36"/>
    <w:multiLevelType w:val="multilevel"/>
    <w:tmpl w:val="0C90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22F43"/>
    <w:multiLevelType w:val="multilevel"/>
    <w:tmpl w:val="BEC88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3582B"/>
    <w:multiLevelType w:val="multilevel"/>
    <w:tmpl w:val="673A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F2BAA"/>
    <w:multiLevelType w:val="multilevel"/>
    <w:tmpl w:val="9C32D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5F512F"/>
    <w:multiLevelType w:val="multilevel"/>
    <w:tmpl w:val="7D8C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ED677C"/>
    <w:multiLevelType w:val="multilevel"/>
    <w:tmpl w:val="8EEEE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C62791"/>
    <w:multiLevelType w:val="multilevel"/>
    <w:tmpl w:val="3A4A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EF5CA0"/>
    <w:multiLevelType w:val="multilevel"/>
    <w:tmpl w:val="3B8A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8F4A88"/>
    <w:multiLevelType w:val="multilevel"/>
    <w:tmpl w:val="EE26B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533C66"/>
    <w:multiLevelType w:val="multilevel"/>
    <w:tmpl w:val="BD481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9A36BA"/>
    <w:multiLevelType w:val="multilevel"/>
    <w:tmpl w:val="69B60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6B6630"/>
    <w:multiLevelType w:val="multilevel"/>
    <w:tmpl w:val="1E62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FA4AA0"/>
    <w:multiLevelType w:val="multilevel"/>
    <w:tmpl w:val="526E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8E4163"/>
    <w:multiLevelType w:val="multilevel"/>
    <w:tmpl w:val="7BEA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1E4D1F"/>
    <w:multiLevelType w:val="multilevel"/>
    <w:tmpl w:val="D152C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550575"/>
    <w:multiLevelType w:val="multilevel"/>
    <w:tmpl w:val="F4CA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813C2F"/>
    <w:multiLevelType w:val="multilevel"/>
    <w:tmpl w:val="1E88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221B55"/>
    <w:multiLevelType w:val="multilevel"/>
    <w:tmpl w:val="64F8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021595"/>
    <w:multiLevelType w:val="multilevel"/>
    <w:tmpl w:val="5E40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304594">
    <w:abstractNumId w:val="13"/>
  </w:num>
  <w:num w:numId="2" w16cid:durableId="1254974554">
    <w:abstractNumId w:val="11"/>
  </w:num>
  <w:num w:numId="3" w16cid:durableId="1665086123">
    <w:abstractNumId w:val="4"/>
  </w:num>
  <w:num w:numId="4" w16cid:durableId="1407150770">
    <w:abstractNumId w:val="5"/>
  </w:num>
  <w:num w:numId="5" w16cid:durableId="288054253">
    <w:abstractNumId w:val="28"/>
  </w:num>
  <w:num w:numId="6" w16cid:durableId="1391269146">
    <w:abstractNumId w:val="15"/>
  </w:num>
  <w:num w:numId="7" w16cid:durableId="298003595">
    <w:abstractNumId w:val="17"/>
  </w:num>
  <w:num w:numId="8" w16cid:durableId="954555885">
    <w:abstractNumId w:val="19"/>
  </w:num>
  <w:num w:numId="9" w16cid:durableId="1326936576">
    <w:abstractNumId w:val="2"/>
  </w:num>
  <w:num w:numId="10" w16cid:durableId="378556801">
    <w:abstractNumId w:val="24"/>
  </w:num>
  <w:num w:numId="11" w16cid:durableId="1107382607">
    <w:abstractNumId w:val="21"/>
  </w:num>
  <w:num w:numId="12" w16cid:durableId="35393380">
    <w:abstractNumId w:val="6"/>
  </w:num>
  <w:num w:numId="13" w16cid:durableId="493570699">
    <w:abstractNumId w:val="12"/>
  </w:num>
  <w:num w:numId="14" w16cid:durableId="1167751527">
    <w:abstractNumId w:val="1"/>
  </w:num>
  <w:num w:numId="15" w16cid:durableId="139737229">
    <w:abstractNumId w:val="9"/>
  </w:num>
  <w:num w:numId="16" w16cid:durableId="125125564">
    <w:abstractNumId w:val="18"/>
  </w:num>
  <w:num w:numId="17" w16cid:durableId="376391471">
    <w:abstractNumId w:val="16"/>
  </w:num>
  <w:num w:numId="18" w16cid:durableId="2082291167">
    <w:abstractNumId w:val="0"/>
  </w:num>
  <w:num w:numId="19" w16cid:durableId="2036156887">
    <w:abstractNumId w:val="26"/>
  </w:num>
  <w:num w:numId="20" w16cid:durableId="706686663">
    <w:abstractNumId w:val="3"/>
  </w:num>
  <w:num w:numId="21" w16cid:durableId="697437654">
    <w:abstractNumId w:val="20"/>
  </w:num>
  <w:num w:numId="22" w16cid:durableId="1202589453">
    <w:abstractNumId w:val="8"/>
  </w:num>
  <w:num w:numId="23" w16cid:durableId="153883438">
    <w:abstractNumId w:val="10"/>
  </w:num>
  <w:num w:numId="24" w16cid:durableId="1024752327">
    <w:abstractNumId w:val="22"/>
  </w:num>
  <w:num w:numId="25" w16cid:durableId="1170290982">
    <w:abstractNumId w:val="27"/>
  </w:num>
  <w:num w:numId="26" w16cid:durableId="514073630">
    <w:abstractNumId w:val="7"/>
  </w:num>
  <w:num w:numId="27" w16cid:durableId="562914213">
    <w:abstractNumId w:val="23"/>
  </w:num>
  <w:num w:numId="28" w16cid:durableId="12659463">
    <w:abstractNumId w:val="14"/>
  </w:num>
  <w:num w:numId="29" w16cid:durableId="5192724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0D9"/>
    <w:rsid w:val="00021821"/>
    <w:rsid w:val="005B254B"/>
    <w:rsid w:val="0074324F"/>
    <w:rsid w:val="007D4B6F"/>
    <w:rsid w:val="008C0F38"/>
    <w:rsid w:val="009940D9"/>
    <w:rsid w:val="00B00B9A"/>
    <w:rsid w:val="00EB1E4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DD9A"/>
  <w15:chartTrackingRefBased/>
  <w15:docId w15:val="{0AE2430C-CCDF-4BA6-928D-EC9DC38CC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0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0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0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0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0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0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0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0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0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0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0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0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0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0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0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0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0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0D9"/>
    <w:rPr>
      <w:rFonts w:eastAsiaTheme="majorEastAsia" w:cstheme="majorBidi"/>
      <w:color w:val="272727" w:themeColor="text1" w:themeTint="D8"/>
    </w:rPr>
  </w:style>
  <w:style w:type="paragraph" w:styleId="Title">
    <w:name w:val="Title"/>
    <w:basedOn w:val="Normal"/>
    <w:next w:val="Normal"/>
    <w:link w:val="TitleChar"/>
    <w:uiPriority w:val="10"/>
    <w:qFormat/>
    <w:rsid w:val="009940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0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0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0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0D9"/>
    <w:pPr>
      <w:spacing w:before="160"/>
      <w:jc w:val="center"/>
    </w:pPr>
    <w:rPr>
      <w:i/>
      <w:iCs/>
      <w:color w:val="404040" w:themeColor="text1" w:themeTint="BF"/>
    </w:rPr>
  </w:style>
  <w:style w:type="character" w:customStyle="1" w:styleId="QuoteChar">
    <w:name w:val="Quote Char"/>
    <w:basedOn w:val="DefaultParagraphFont"/>
    <w:link w:val="Quote"/>
    <w:uiPriority w:val="29"/>
    <w:rsid w:val="009940D9"/>
    <w:rPr>
      <w:i/>
      <w:iCs/>
      <w:color w:val="404040" w:themeColor="text1" w:themeTint="BF"/>
    </w:rPr>
  </w:style>
  <w:style w:type="paragraph" w:styleId="ListParagraph">
    <w:name w:val="List Paragraph"/>
    <w:basedOn w:val="Normal"/>
    <w:uiPriority w:val="34"/>
    <w:qFormat/>
    <w:rsid w:val="009940D9"/>
    <w:pPr>
      <w:ind w:left="720"/>
      <w:contextualSpacing/>
    </w:pPr>
  </w:style>
  <w:style w:type="character" w:styleId="IntenseEmphasis">
    <w:name w:val="Intense Emphasis"/>
    <w:basedOn w:val="DefaultParagraphFont"/>
    <w:uiPriority w:val="21"/>
    <w:qFormat/>
    <w:rsid w:val="009940D9"/>
    <w:rPr>
      <w:i/>
      <w:iCs/>
      <w:color w:val="0F4761" w:themeColor="accent1" w:themeShade="BF"/>
    </w:rPr>
  </w:style>
  <w:style w:type="paragraph" w:styleId="IntenseQuote">
    <w:name w:val="Intense Quote"/>
    <w:basedOn w:val="Normal"/>
    <w:next w:val="Normal"/>
    <w:link w:val="IntenseQuoteChar"/>
    <w:uiPriority w:val="30"/>
    <w:qFormat/>
    <w:rsid w:val="009940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0D9"/>
    <w:rPr>
      <w:i/>
      <w:iCs/>
      <w:color w:val="0F4761" w:themeColor="accent1" w:themeShade="BF"/>
    </w:rPr>
  </w:style>
  <w:style w:type="character" w:styleId="IntenseReference">
    <w:name w:val="Intense Reference"/>
    <w:basedOn w:val="DefaultParagraphFont"/>
    <w:uiPriority w:val="32"/>
    <w:qFormat/>
    <w:rsid w:val="009940D9"/>
    <w:rPr>
      <w:b/>
      <w:bCs/>
      <w:smallCaps/>
      <w:color w:val="0F4761" w:themeColor="accent1" w:themeShade="BF"/>
      <w:spacing w:val="5"/>
    </w:rPr>
  </w:style>
  <w:style w:type="table" w:styleId="TableGrid">
    <w:name w:val="Table Grid"/>
    <w:basedOn w:val="TableNormal"/>
    <w:uiPriority w:val="39"/>
    <w:rsid w:val="00EB1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4B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B6F"/>
  </w:style>
  <w:style w:type="paragraph" w:styleId="Footer">
    <w:name w:val="footer"/>
    <w:basedOn w:val="Normal"/>
    <w:link w:val="FooterChar"/>
    <w:uiPriority w:val="99"/>
    <w:unhideWhenUsed/>
    <w:rsid w:val="007D4B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08569">
      <w:bodyDiv w:val="1"/>
      <w:marLeft w:val="0"/>
      <w:marRight w:val="0"/>
      <w:marTop w:val="0"/>
      <w:marBottom w:val="0"/>
      <w:divBdr>
        <w:top w:val="none" w:sz="0" w:space="0" w:color="auto"/>
        <w:left w:val="none" w:sz="0" w:space="0" w:color="auto"/>
        <w:bottom w:val="none" w:sz="0" w:space="0" w:color="auto"/>
        <w:right w:val="none" w:sz="0" w:space="0" w:color="auto"/>
      </w:divBdr>
      <w:divsChild>
        <w:div w:id="1034040855">
          <w:marLeft w:val="0"/>
          <w:marRight w:val="0"/>
          <w:marTop w:val="0"/>
          <w:marBottom w:val="0"/>
          <w:divBdr>
            <w:top w:val="none" w:sz="0" w:space="0" w:color="auto"/>
            <w:left w:val="none" w:sz="0" w:space="0" w:color="auto"/>
            <w:bottom w:val="none" w:sz="0" w:space="0" w:color="auto"/>
            <w:right w:val="none" w:sz="0" w:space="0" w:color="auto"/>
          </w:divBdr>
          <w:divsChild>
            <w:div w:id="13588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1687">
      <w:bodyDiv w:val="1"/>
      <w:marLeft w:val="0"/>
      <w:marRight w:val="0"/>
      <w:marTop w:val="0"/>
      <w:marBottom w:val="0"/>
      <w:divBdr>
        <w:top w:val="none" w:sz="0" w:space="0" w:color="auto"/>
        <w:left w:val="none" w:sz="0" w:space="0" w:color="auto"/>
        <w:bottom w:val="none" w:sz="0" w:space="0" w:color="auto"/>
        <w:right w:val="none" w:sz="0" w:space="0" w:color="auto"/>
      </w:divBdr>
      <w:divsChild>
        <w:div w:id="2144300658">
          <w:marLeft w:val="0"/>
          <w:marRight w:val="0"/>
          <w:marTop w:val="0"/>
          <w:marBottom w:val="0"/>
          <w:divBdr>
            <w:top w:val="none" w:sz="0" w:space="0" w:color="auto"/>
            <w:left w:val="none" w:sz="0" w:space="0" w:color="auto"/>
            <w:bottom w:val="none" w:sz="0" w:space="0" w:color="auto"/>
            <w:right w:val="none" w:sz="0" w:space="0" w:color="auto"/>
          </w:divBdr>
          <w:divsChild>
            <w:div w:id="153322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3960">
      <w:bodyDiv w:val="1"/>
      <w:marLeft w:val="0"/>
      <w:marRight w:val="0"/>
      <w:marTop w:val="0"/>
      <w:marBottom w:val="0"/>
      <w:divBdr>
        <w:top w:val="none" w:sz="0" w:space="0" w:color="auto"/>
        <w:left w:val="none" w:sz="0" w:space="0" w:color="auto"/>
        <w:bottom w:val="none" w:sz="0" w:space="0" w:color="auto"/>
        <w:right w:val="none" w:sz="0" w:space="0" w:color="auto"/>
      </w:divBdr>
      <w:divsChild>
        <w:div w:id="1705712922">
          <w:marLeft w:val="0"/>
          <w:marRight w:val="0"/>
          <w:marTop w:val="0"/>
          <w:marBottom w:val="0"/>
          <w:divBdr>
            <w:top w:val="none" w:sz="0" w:space="0" w:color="auto"/>
            <w:left w:val="none" w:sz="0" w:space="0" w:color="auto"/>
            <w:bottom w:val="none" w:sz="0" w:space="0" w:color="auto"/>
            <w:right w:val="none" w:sz="0" w:space="0" w:color="auto"/>
          </w:divBdr>
          <w:divsChild>
            <w:div w:id="165976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8261">
      <w:bodyDiv w:val="1"/>
      <w:marLeft w:val="0"/>
      <w:marRight w:val="0"/>
      <w:marTop w:val="0"/>
      <w:marBottom w:val="0"/>
      <w:divBdr>
        <w:top w:val="none" w:sz="0" w:space="0" w:color="auto"/>
        <w:left w:val="none" w:sz="0" w:space="0" w:color="auto"/>
        <w:bottom w:val="none" w:sz="0" w:space="0" w:color="auto"/>
        <w:right w:val="none" w:sz="0" w:space="0" w:color="auto"/>
      </w:divBdr>
      <w:divsChild>
        <w:div w:id="1284851749">
          <w:marLeft w:val="0"/>
          <w:marRight w:val="0"/>
          <w:marTop w:val="0"/>
          <w:marBottom w:val="0"/>
          <w:divBdr>
            <w:top w:val="none" w:sz="0" w:space="0" w:color="auto"/>
            <w:left w:val="none" w:sz="0" w:space="0" w:color="auto"/>
            <w:bottom w:val="none" w:sz="0" w:space="0" w:color="auto"/>
            <w:right w:val="none" w:sz="0" w:space="0" w:color="auto"/>
          </w:divBdr>
          <w:divsChild>
            <w:div w:id="16131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9856">
      <w:bodyDiv w:val="1"/>
      <w:marLeft w:val="0"/>
      <w:marRight w:val="0"/>
      <w:marTop w:val="0"/>
      <w:marBottom w:val="0"/>
      <w:divBdr>
        <w:top w:val="none" w:sz="0" w:space="0" w:color="auto"/>
        <w:left w:val="none" w:sz="0" w:space="0" w:color="auto"/>
        <w:bottom w:val="none" w:sz="0" w:space="0" w:color="auto"/>
        <w:right w:val="none" w:sz="0" w:space="0" w:color="auto"/>
      </w:divBdr>
      <w:divsChild>
        <w:div w:id="1158376947">
          <w:marLeft w:val="0"/>
          <w:marRight w:val="0"/>
          <w:marTop w:val="0"/>
          <w:marBottom w:val="0"/>
          <w:divBdr>
            <w:top w:val="none" w:sz="0" w:space="0" w:color="auto"/>
            <w:left w:val="none" w:sz="0" w:space="0" w:color="auto"/>
            <w:bottom w:val="none" w:sz="0" w:space="0" w:color="auto"/>
            <w:right w:val="none" w:sz="0" w:space="0" w:color="auto"/>
          </w:divBdr>
          <w:divsChild>
            <w:div w:id="87681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0550">
      <w:bodyDiv w:val="1"/>
      <w:marLeft w:val="0"/>
      <w:marRight w:val="0"/>
      <w:marTop w:val="0"/>
      <w:marBottom w:val="0"/>
      <w:divBdr>
        <w:top w:val="none" w:sz="0" w:space="0" w:color="auto"/>
        <w:left w:val="none" w:sz="0" w:space="0" w:color="auto"/>
        <w:bottom w:val="none" w:sz="0" w:space="0" w:color="auto"/>
        <w:right w:val="none" w:sz="0" w:space="0" w:color="auto"/>
      </w:divBdr>
      <w:divsChild>
        <w:div w:id="263153193">
          <w:marLeft w:val="0"/>
          <w:marRight w:val="0"/>
          <w:marTop w:val="0"/>
          <w:marBottom w:val="0"/>
          <w:divBdr>
            <w:top w:val="none" w:sz="0" w:space="0" w:color="auto"/>
            <w:left w:val="none" w:sz="0" w:space="0" w:color="auto"/>
            <w:bottom w:val="none" w:sz="0" w:space="0" w:color="auto"/>
            <w:right w:val="none" w:sz="0" w:space="0" w:color="auto"/>
          </w:divBdr>
          <w:divsChild>
            <w:div w:id="1765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7063">
      <w:bodyDiv w:val="1"/>
      <w:marLeft w:val="0"/>
      <w:marRight w:val="0"/>
      <w:marTop w:val="0"/>
      <w:marBottom w:val="0"/>
      <w:divBdr>
        <w:top w:val="none" w:sz="0" w:space="0" w:color="auto"/>
        <w:left w:val="none" w:sz="0" w:space="0" w:color="auto"/>
        <w:bottom w:val="none" w:sz="0" w:space="0" w:color="auto"/>
        <w:right w:val="none" w:sz="0" w:space="0" w:color="auto"/>
      </w:divBdr>
      <w:divsChild>
        <w:div w:id="1356344273">
          <w:marLeft w:val="0"/>
          <w:marRight w:val="0"/>
          <w:marTop w:val="0"/>
          <w:marBottom w:val="0"/>
          <w:divBdr>
            <w:top w:val="none" w:sz="0" w:space="0" w:color="auto"/>
            <w:left w:val="none" w:sz="0" w:space="0" w:color="auto"/>
            <w:bottom w:val="none" w:sz="0" w:space="0" w:color="auto"/>
            <w:right w:val="none" w:sz="0" w:space="0" w:color="auto"/>
          </w:divBdr>
          <w:divsChild>
            <w:div w:id="4769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2216">
      <w:bodyDiv w:val="1"/>
      <w:marLeft w:val="0"/>
      <w:marRight w:val="0"/>
      <w:marTop w:val="0"/>
      <w:marBottom w:val="0"/>
      <w:divBdr>
        <w:top w:val="none" w:sz="0" w:space="0" w:color="auto"/>
        <w:left w:val="none" w:sz="0" w:space="0" w:color="auto"/>
        <w:bottom w:val="none" w:sz="0" w:space="0" w:color="auto"/>
        <w:right w:val="none" w:sz="0" w:space="0" w:color="auto"/>
      </w:divBdr>
      <w:divsChild>
        <w:div w:id="83764344">
          <w:marLeft w:val="0"/>
          <w:marRight w:val="0"/>
          <w:marTop w:val="0"/>
          <w:marBottom w:val="0"/>
          <w:divBdr>
            <w:top w:val="none" w:sz="0" w:space="0" w:color="auto"/>
            <w:left w:val="none" w:sz="0" w:space="0" w:color="auto"/>
            <w:bottom w:val="none" w:sz="0" w:space="0" w:color="auto"/>
            <w:right w:val="none" w:sz="0" w:space="0" w:color="auto"/>
          </w:divBdr>
          <w:divsChild>
            <w:div w:id="1258177224">
              <w:marLeft w:val="0"/>
              <w:marRight w:val="0"/>
              <w:marTop w:val="0"/>
              <w:marBottom w:val="0"/>
              <w:divBdr>
                <w:top w:val="none" w:sz="0" w:space="0" w:color="auto"/>
                <w:left w:val="none" w:sz="0" w:space="0" w:color="auto"/>
                <w:bottom w:val="none" w:sz="0" w:space="0" w:color="auto"/>
                <w:right w:val="none" w:sz="0" w:space="0" w:color="auto"/>
              </w:divBdr>
            </w:div>
          </w:divsChild>
        </w:div>
        <w:div w:id="1056317965">
          <w:marLeft w:val="0"/>
          <w:marRight w:val="0"/>
          <w:marTop w:val="0"/>
          <w:marBottom w:val="0"/>
          <w:divBdr>
            <w:top w:val="none" w:sz="0" w:space="0" w:color="auto"/>
            <w:left w:val="none" w:sz="0" w:space="0" w:color="auto"/>
            <w:bottom w:val="none" w:sz="0" w:space="0" w:color="auto"/>
            <w:right w:val="none" w:sz="0" w:space="0" w:color="auto"/>
          </w:divBdr>
          <w:divsChild>
            <w:div w:id="18396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09020">
      <w:bodyDiv w:val="1"/>
      <w:marLeft w:val="0"/>
      <w:marRight w:val="0"/>
      <w:marTop w:val="0"/>
      <w:marBottom w:val="0"/>
      <w:divBdr>
        <w:top w:val="none" w:sz="0" w:space="0" w:color="auto"/>
        <w:left w:val="none" w:sz="0" w:space="0" w:color="auto"/>
        <w:bottom w:val="none" w:sz="0" w:space="0" w:color="auto"/>
        <w:right w:val="none" w:sz="0" w:space="0" w:color="auto"/>
      </w:divBdr>
      <w:divsChild>
        <w:div w:id="343752541">
          <w:marLeft w:val="0"/>
          <w:marRight w:val="0"/>
          <w:marTop w:val="0"/>
          <w:marBottom w:val="0"/>
          <w:divBdr>
            <w:top w:val="none" w:sz="0" w:space="0" w:color="auto"/>
            <w:left w:val="none" w:sz="0" w:space="0" w:color="auto"/>
            <w:bottom w:val="none" w:sz="0" w:space="0" w:color="auto"/>
            <w:right w:val="none" w:sz="0" w:space="0" w:color="auto"/>
          </w:divBdr>
          <w:divsChild>
            <w:div w:id="17860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9243">
      <w:bodyDiv w:val="1"/>
      <w:marLeft w:val="0"/>
      <w:marRight w:val="0"/>
      <w:marTop w:val="0"/>
      <w:marBottom w:val="0"/>
      <w:divBdr>
        <w:top w:val="none" w:sz="0" w:space="0" w:color="auto"/>
        <w:left w:val="none" w:sz="0" w:space="0" w:color="auto"/>
        <w:bottom w:val="none" w:sz="0" w:space="0" w:color="auto"/>
        <w:right w:val="none" w:sz="0" w:space="0" w:color="auto"/>
      </w:divBdr>
      <w:divsChild>
        <w:div w:id="1870989733">
          <w:marLeft w:val="0"/>
          <w:marRight w:val="0"/>
          <w:marTop w:val="0"/>
          <w:marBottom w:val="0"/>
          <w:divBdr>
            <w:top w:val="none" w:sz="0" w:space="0" w:color="auto"/>
            <w:left w:val="none" w:sz="0" w:space="0" w:color="auto"/>
            <w:bottom w:val="none" w:sz="0" w:space="0" w:color="auto"/>
            <w:right w:val="none" w:sz="0" w:space="0" w:color="auto"/>
          </w:divBdr>
          <w:divsChild>
            <w:div w:id="704327439">
              <w:marLeft w:val="0"/>
              <w:marRight w:val="0"/>
              <w:marTop w:val="0"/>
              <w:marBottom w:val="0"/>
              <w:divBdr>
                <w:top w:val="none" w:sz="0" w:space="0" w:color="auto"/>
                <w:left w:val="none" w:sz="0" w:space="0" w:color="auto"/>
                <w:bottom w:val="none" w:sz="0" w:space="0" w:color="auto"/>
                <w:right w:val="none" w:sz="0" w:space="0" w:color="auto"/>
              </w:divBdr>
            </w:div>
          </w:divsChild>
        </w:div>
        <w:div w:id="949047613">
          <w:marLeft w:val="0"/>
          <w:marRight w:val="0"/>
          <w:marTop w:val="0"/>
          <w:marBottom w:val="0"/>
          <w:divBdr>
            <w:top w:val="none" w:sz="0" w:space="0" w:color="auto"/>
            <w:left w:val="none" w:sz="0" w:space="0" w:color="auto"/>
            <w:bottom w:val="none" w:sz="0" w:space="0" w:color="auto"/>
            <w:right w:val="none" w:sz="0" w:space="0" w:color="auto"/>
          </w:divBdr>
          <w:divsChild>
            <w:div w:id="15919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Aziz</dc:creator>
  <cp:keywords/>
  <dc:description/>
  <cp:lastModifiedBy>Mohamed Aziz</cp:lastModifiedBy>
  <cp:revision>1</cp:revision>
  <dcterms:created xsi:type="dcterms:W3CDTF">2025-05-12T21:36:00Z</dcterms:created>
  <dcterms:modified xsi:type="dcterms:W3CDTF">2025-05-12T22:14:00Z</dcterms:modified>
</cp:coreProperties>
</file>