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80"/>
        <w:jc w:val="center"/>
        <w:bidi w:val="1"/>
      </w:pPr>
      <w:r>
        <w:rPr>
          <w:rFonts w:ascii="Arial" w:hAnsi="Arial" w:cs="Arial"/>
          <w:b/>
          <w:color w:val="1A1A2E"/>
          <w:sz w:val="52"/>
          <w:rtl w:val="1"/>
          <w:szCs w:val="52"/>
          <w:bCs w:val="1"/>
        </w:rPr>
        <w:t>عرض مالي</w:t>
      </w:r>
    </w:p>
    <w:p>
      <w:pPr>
        <w:spacing w:before="40" w:after="40"/>
        <w:jc w:val="center"/>
        <w:bidi w:val="1"/>
      </w:pPr>
      <w:r>
        <w:rPr>
          <w:rFonts w:ascii="Arial" w:hAnsi="Arial" w:cs="Arial"/>
          <w:b/>
          <w:color w:val="0F3460"/>
          <w:sz w:val="36"/>
          <w:rtl w:val="1"/>
          <w:szCs w:val="36"/>
          <w:bCs w:val="1"/>
        </w:rPr>
        <w:t>نظام إدارة موارد متكامل (ERP)</w:t>
      </w:r>
    </w:p>
    <w:p>
      <w:pPr>
        <w:spacing w:before="40" w:after="160"/>
        <w:jc w:val="center"/>
        <w:bidi w:val="1"/>
      </w:pPr>
      <w:r>
        <w:rPr>
          <w:rFonts w:ascii="Arial" w:hAnsi="Arial" w:cs="Arial"/>
          <w:b/>
          <w:color w:val="B8860B"/>
          <w:sz w:val="32"/>
          <w:rtl w:val="1"/>
          <w:szCs w:val="32"/>
          <w:bCs w:val="1"/>
        </w:rPr>
        <w:t>شركة البدر لتجارة البن</w:t>
      </w:r>
    </w:p>
    <w:p>
      <w:pPr>
        <w:spacing w:before="40" w:after="360"/>
        <w:jc w:val="center"/>
        <w:bidi w:val="1"/>
      </w:pPr>
      <w:r>
        <w:rPr>
          <w:rFonts w:ascii="Arial" w:hAnsi="Arial" w:cs="Arial"/>
          <w:b/>
          <w:color w:val="15803D"/>
          <w:sz w:val="28"/>
          <w:rtl w:val="1"/>
          <w:szCs w:val="28"/>
          <w:bCs w:val="1"/>
        </w:rPr>
        <w:t>إجمالي قيمة المشروع: 120,000 جنيه مصري</w:t>
      </w:r>
    </w:p>
    <w:p>
      <w:pPr>
        <w:spacing w:before="280" w:after="160"/>
        <w:jc w:val="right"/>
        <w:bidi w:val="1"/>
      </w:pPr>
      <w:r>
        <w:rPr>
          <w:rFonts w:ascii="Arial" w:hAnsi="Arial" w:cs="Arial"/>
          <w:b/>
          <w:color w:val="1A1A2E"/>
          <w:sz w:val="30"/>
          <w:rtl w:val="1"/>
          <w:szCs w:val="30"/>
          <w:bCs w:val="1"/>
        </w:rPr>
        <w:t>أولًا: تصميم وتطوير الواجهات الأمامية (UI/UX)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البند</w:t>
            </w:r>
          </w:p>
        </w:tc>
        <w:tc>
          <w:tcPr>
            <w:tcW w:type="dxa" w:w="3249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الوصف</w:t>
            </w:r>
          </w:p>
        </w:tc>
        <w:tc>
          <w:tcPr>
            <w:tcW w:type="dxa" w:w="3249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القيمة (ج.م)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تصميم لوحة التحكم (Dashboard)</w:t>
            </w:r>
          </w:p>
        </w:tc>
        <w:tc>
          <w:tcPr>
            <w:tcW w:type="dxa" w:w="324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لوحة مؤشرات تفاعلية، شاشات إدارة كاملة، هوية بصرية موحدة بشعار الشركة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14,000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تصميم المتجر الإلكتروني</w:t>
            </w:r>
          </w:p>
        </w:tc>
        <w:tc>
          <w:tcPr>
            <w:tcW w:type="dxa" w:w="324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واجهة عصرية داكنة، بانر سلايدر متحرك، أقسام ديناميكية، سلة وقائمة أمنيات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14,000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التوافق مع الموبايل (Responsive)</w:t>
            </w:r>
          </w:p>
        </w:tc>
        <w:tc>
          <w:tcPr>
            <w:tcW w:type="dxa" w:w="324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تجاوب كامل للوحة التحكم والمتجر على جميع مقاسات الشاشات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6,000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تجربة المستخدم والتفاعلية</w:t>
            </w:r>
          </w:p>
        </w:tc>
        <w:tc>
          <w:tcPr>
            <w:tcW w:type="dxa" w:w="324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حركات وتأثيرات، إشعارات فورية، تحكم الأدمن في الألوان والخطوط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4,000</w:t>
            </w:r>
          </w:p>
        </w:tc>
      </w:tr>
    </w:tbl>
    <w:p>
      <w:pPr>
        <w:spacing w:before="120" w:after="200"/>
        <w:jc w:val="right"/>
        <w:bidi w:val="1"/>
      </w:pPr>
      <w:r>
        <w:rPr>
          <w:rFonts w:ascii="Arial" w:hAnsi="Arial" w:cs="Arial"/>
          <w:b/>
          <w:color w:val="0F3460"/>
          <w:sz w:val="24"/>
          <w:rtl w:val="1"/>
          <w:szCs w:val="24"/>
          <w:bCs w:val="1"/>
        </w:rPr>
        <w:t>إجمالي الواجهات الأمامية: 38,000 ج.م</w:t>
      </w:r>
    </w:p>
    <w:p>
      <w:pPr>
        <w:spacing w:before="280" w:after="160"/>
        <w:jc w:val="right"/>
        <w:bidi w:val="1"/>
      </w:pPr>
      <w:r>
        <w:rPr>
          <w:rFonts w:ascii="Arial" w:hAnsi="Arial" w:cs="Arial"/>
          <w:b/>
          <w:color w:val="1A1A2E"/>
          <w:sz w:val="30"/>
          <w:rtl w:val="1"/>
          <w:szCs w:val="30"/>
          <w:bCs w:val="1"/>
        </w:rPr>
        <w:t>ثانيًا: الخصائص والوحدات البرمجية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الوحدة</w:t>
            </w:r>
          </w:p>
        </w:tc>
        <w:tc>
          <w:tcPr>
            <w:tcW w:type="dxa" w:w="3249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الوصف</w:t>
            </w:r>
          </w:p>
        </w:tc>
        <w:tc>
          <w:tcPr>
            <w:tcW w:type="dxa" w:w="3249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القيمة (ج.م)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المخازن والتصنيع</w:t>
            </w:r>
          </w:p>
        </w:tc>
        <w:tc>
          <w:tcPr>
            <w:tcW w:type="dxa" w:w="324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3 مخازن مترابطة، مراحل إنتاج قابلة للتخصيص، فاقد التحميص، نقل تلقائي بين المخازن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16,000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نقطة البيع والفوترة</w:t>
            </w:r>
          </w:p>
        </w:tc>
        <w:tc>
          <w:tcPr>
            <w:tcW w:type="dxa" w:w="324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شاشة بيع سريعة، كاش/فيزا/آجل، حد ائتماني، طباعة فواتير، خصم مخزون لحظي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12,000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المتجر الإلكتروني وإدارة محتواه</w:t>
            </w:r>
          </w:p>
        </w:tc>
        <w:tc>
          <w:tcPr>
            <w:tcW w:type="dxa" w:w="324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طلبات أونلاين، دفع عند الاستلام/فيزا، لوحة تحكم كاملة في المحتوى بدون مبرمج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12,000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فئات العملاء والبونص</w:t>
            </w:r>
          </w:p>
        </w:tc>
        <w:tc>
          <w:tcPr>
            <w:tcW w:type="dxa" w:w="324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5 فئات بتسعير خاص، اكتساب نقاط تلقائي، استبدال موثق، قابلة للتعديل بالكامل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10,000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إدارة الطلبات الأونلاين وواتساب</w:t>
            </w:r>
          </w:p>
        </w:tc>
        <w:tc>
          <w:tcPr>
            <w:tcW w:type="dxa" w:w="324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بحث وفلترة، خط سير الطلب، رسائل تأكيد وتقييم واتساب بضغطة زر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8,000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المشتريات والموردين</w:t>
            </w:r>
          </w:p>
        </w:tc>
        <w:tc>
          <w:tcPr>
            <w:tcW w:type="dxa" w:w="324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أوامر شراء مرتبطة بالمخازن، سجلات الموردين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6,000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المناديب والتوزيع</w:t>
            </w:r>
          </w:p>
        </w:tc>
        <w:tc>
          <w:tcPr>
            <w:tcW w:type="dxa" w:w="324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تحميل العربيات، تسليم متعدد العملاء، تسوية آخر اليوم والعمولات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6,000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إدارة العملاء</w:t>
            </w:r>
          </w:p>
        </w:tc>
        <w:tc>
          <w:tcPr>
            <w:tcW w:type="dxa" w:w="324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بروفايل كامل، مديونيات، سجل مشتريات، تواصل مباشر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4,000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التقارير والتصدير</w:t>
            </w:r>
          </w:p>
        </w:tc>
        <w:tc>
          <w:tcPr>
            <w:tcW w:type="dxa" w:w="324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تقارير شاملة، رسوم بيانية، تصدير طباعة وExcel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4,000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المستخدمون والصلاحيات والأمان</w:t>
            </w:r>
          </w:p>
        </w:tc>
        <w:tc>
          <w:tcPr>
            <w:tcW w:type="dxa" w:w="324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أدوار وصلاحيات تفصيلية، تشفير، سجل مراجعة لكل العمليات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4,000</w:t>
            </w:r>
          </w:p>
        </w:tc>
      </w:tr>
    </w:tbl>
    <w:p>
      <w:pPr>
        <w:spacing w:before="120" w:after="200"/>
        <w:jc w:val="right"/>
        <w:bidi w:val="1"/>
      </w:pPr>
      <w:r>
        <w:rPr>
          <w:rFonts w:ascii="Arial" w:hAnsi="Arial" w:cs="Arial"/>
          <w:b/>
          <w:color w:val="0F3460"/>
          <w:sz w:val="24"/>
          <w:rtl w:val="1"/>
          <w:szCs w:val="24"/>
          <w:bCs w:val="1"/>
        </w:rPr>
        <w:t>إجمالي الخصائص والوحدات: 82,000 ج.م</w:t>
      </w:r>
    </w:p>
    <w:p>
      <w:pPr>
        <w:spacing w:before="280" w:after="160"/>
        <w:jc w:val="right"/>
        <w:bidi w:val="1"/>
      </w:pPr>
      <w:r>
        <w:rPr>
          <w:rFonts w:ascii="Arial" w:hAnsi="Arial" w:cs="Arial"/>
          <w:b/>
          <w:color w:val="1A1A2E"/>
          <w:sz w:val="30"/>
          <w:rtl w:val="1"/>
          <w:szCs w:val="30"/>
          <w:bCs w:val="1"/>
        </w:rPr>
        <w:t>ثالثًا: ملخص الإجمالي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2"/>
                <w:rtl w:val="1"/>
                <w:szCs w:val="22"/>
                <w:bCs w:val="1"/>
              </w:rPr>
              <w:t>تصميم الواجهات الأمامية (UI/UX)</w:t>
            </w:r>
          </w:p>
        </w:tc>
        <w:tc>
          <w:tcPr>
            <w:tcW w:type="dxa" w:w="487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2"/>
                <w:rtl w:val="1"/>
                <w:szCs w:val="22"/>
                <w:bCs w:val="1"/>
              </w:rPr>
              <w:t>38,000 ج.م</w:t>
            </w:r>
          </w:p>
        </w:tc>
      </w:tr>
      <w:tr>
        <w:tc>
          <w:tcPr>
            <w:tcW w:type="dxa" w:w="487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2"/>
                <w:rtl w:val="1"/>
                <w:szCs w:val="22"/>
                <w:bCs w:val="1"/>
              </w:rPr>
              <w:t>الخصائص والوحدات البرمجية</w:t>
            </w:r>
          </w:p>
        </w:tc>
        <w:tc>
          <w:tcPr>
            <w:tcW w:type="dxa" w:w="487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2"/>
                <w:rtl w:val="1"/>
                <w:szCs w:val="22"/>
                <w:bCs w:val="1"/>
              </w:rPr>
              <w:t>82,000 ج.م</w:t>
            </w:r>
          </w:p>
        </w:tc>
      </w:tr>
      <w:tr>
        <w:tc>
          <w:tcPr>
            <w:tcW w:type="dxa" w:w="4873"/>
            <w:shd w:val="clear" w:fill="15803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4"/>
                <w:rtl w:val="1"/>
                <w:szCs w:val="24"/>
                <w:bCs w:val="1"/>
              </w:rPr>
              <w:t>الإجمالي الكلي للمشروع</w:t>
            </w:r>
          </w:p>
        </w:tc>
        <w:tc>
          <w:tcPr>
            <w:tcW w:type="dxa" w:w="4873"/>
            <w:shd w:val="clear" w:fill="15803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4"/>
                <w:rtl w:val="1"/>
                <w:szCs w:val="24"/>
                <w:bCs w:val="1"/>
              </w:rPr>
              <w:t>120,000 ج.م</w:t>
            </w:r>
          </w:p>
        </w:tc>
      </w:tr>
    </w:tbl>
    <w:p>
      <w:pPr>
        <w:spacing w:before="280" w:after="160"/>
        <w:jc w:val="right"/>
        <w:bidi w:val="1"/>
      </w:pPr>
      <w:r>
        <w:rPr>
          <w:rFonts w:ascii="Arial" w:hAnsi="Arial" w:cs="Arial"/>
          <w:b/>
          <w:color w:val="1A1A2E"/>
          <w:sz w:val="30"/>
          <w:rtl w:val="1"/>
          <w:szCs w:val="30"/>
          <w:bCs w:val="1"/>
        </w:rPr>
        <w:t>رابعًا: نظام الدفع المقترح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الدفعة</w:t>
            </w:r>
          </w:p>
        </w:tc>
        <w:tc>
          <w:tcPr>
            <w:tcW w:type="dxa" w:w="3249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التوقيت</w:t>
            </w:r>
          </w:p>
        </w:tc>
        <w:tc>
          <w:tcPr>
            <w:tcW w:type="dxa" w:w="3249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القيمة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الدفعة الأولى (40%)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عند التعاقد وبدء التنفيذ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48,000 ج.م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الدفعة الثانية (35%)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عند تسليم النسخة التجريبية للمراجعة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42,000 ج.م</w:t>
            </w:r>
          </w:p>
        </w:tc>
      </w:tr>
      <w:tr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الدفعة الثالثة (25%)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عند التسليم النهائي والتشغيل الفعلي</w:t>
            </w:r>
          </w:p>
        </w:tc>
        <w:tc>
          <w:tcPr>
            <w:tcW w:type="dxa" w:w="3249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30,000 ج.م</w:t>
            </w:r>
          </w:p>
        </w:tc>
      </w:tr>
    </w:tbl>
    <w:p>
      <w:pPr>
        <w:spacing w:before="280" w:after="160"/>
        <w:jc w:val="right"/>
        <w:bidi w:val="1"/>
      </w:pPr>
      <w:r>
        <w:rPr>
          <w:rFonts w:ascii="Arial" w:hAnsi="Arial" w:cs="Arial"/>
          <w:b/>
          <w:color w:val="1A1A2E"/>
          <w:sz w:val="30"/>
          <w:rtl w:val="1"/>
          <w:szCs w:val="30"/>
          <w:bCs w:val="1"/>
        </w:rPr>
        <w:t>خامسًا: يشمل هذا العرض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رفع النظام وتشغيله على الاستضافة السحابية.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تدريب فريق العمل على استخدام النظام.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فترة دعم فني ومتابعة بعد التسليم.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إدخال البيانات الأساسية (الأصناف – المخازن – المستخدمين) عند التشغيل.</w:t>
      </w:r>
    </w:p>
    <w:p>
      <w:pPr>
        <w:spacing w:before="40" w:after="120"/>
        <w:jc w:val="right"/>
        <w:bidi w:val="1"/>
      </w:pPr>
      <w:r>
        <w:rPr>
          <w:rFonts w:ascii="Arial" w:hAnsi="Arial" w:cs="Arial"/>
          <w:b w:val="0"/>
          <w:color w:val="444444"/>
          <w:sz w:val="12"/>
          <w:rtl w:val="1"/>
          <w:szCs w:val="12"/>
        </w:rPr>
      </w:r>
    </w:p>
    <w:p>
      <w:pPr>
        <w:spacing w:before="200" w:after="120"/>
        <w:jc w:val="center"/>
        <w:bidi w:val="1"/>
      </w:pPr>
      <w:r>
        <w:rPr>
          <w:rFonts w:ascii="Arial" w:hAnsi="Arial" w:cs="Arial"/>
          <w:b/>
          <w:color w:val="B8860B"/>
          <w:sz w:val="20"/>
          <w:rtl w:val="1"/>
          <w:szCs w:val="20"/>
          <w:bCs w:val="1"/>
        </w:rPr>
        <w:t>هذا العرض المالي مكمل للعرض الفني المقدم لشركة البدر لتجارة البن.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