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 Consensus Multi-Modèles</w:t>
      </w:r>
    </w:p>
    <w:p>
      <w:pPr>
        <w:jc w:val="center"/>
      </w:pPr>
      <w:r>
        <w:rPr>
          <w:color w:val="646464"/>
          <w:sz w:val="28"/>
        </w:rPr>
        <w:t>Pourquoi nos algorithmes ne sont pas toujours d'accord ?</w:t>
      </w:r>
    </w:p>
    <w:p/>
    <w:p>
      <w:r>
        <w:t>L'une des forces majeures de notre approche est l'utilisation d'une méthode d'Ensemble combinant deux visions mathématiques fondamentalement différentes : l'Isolation Forest (Machine Learning) et la distance de Mahalanobis (Statistiques Multivariées).</w:t>
      </w:r>
    </w:p>
    <w:p>
      <w:r>
        <w:t>Lorsqu'on croise ces deux modèles, nous constatons qu'ils ne sont d'accord que sur une petite fraction des données (ex: 214 transactions de Haute Confiance). Ce document explique pourquoi cette différence n'est pas un défaut, mais au contraire le but recherché.</w:t>
      </w:r>
    </w:p>
    <w:p>
      <w:pPr>
        <w:pStyle w:val="Heading1"/>
      </w:pPr>
      <w:r>
        <w:t>1. La vision de l'Isolation Forest (Le spécialiste de la 'Rareté')</w:t>
      </w:r>
    </w:p>
    <w:p>
      <w:r>
        <w:t>L'Isolation Forest fonctionne en posant des questions 'Oui/Non' à travers des arbres de décision. Son fonctionnement le rend hyper-sensible aux valeurs catégorielles rares.</w:t>
      </w:r>
    </w:p>
    <w:p>
      <w:pPr>
        <w:pStyle w:val="ListBullet"/>
      </w:pPr>
      <w:r>
        <w:rPr>
          <w:b/>
        </w:rPr>
        <w:t xml:space="preserve">Ce qu'il signale tout seul : </w:t>
      </w:r>
      <w:r>
        <w:t>Un client inconnu (fréquence très basse) qui utilise une devise très rare, même s'il envoie seulement un petit montant de 50 TND.</w:t>
      </w:r>
    </w:p>
    <w:p>
      <w:pPr>
        <w:pStyle w:val="ListBullet"/>
      </w:pPr>
      <w:r>
        <w:rPr>
          <w:b/>
        </w:rPr>
        <w:t xml:space="preserve">Pourquoi Mahalanobis l'ignore : </w:t>
      </w:r>
      <w:r>
        <w:t>Mahalanobis calcule la distance par rapport au volume moyen. Pour lui, 50 TND est un montant parfaitement normal. La distance géométrique n'est pas assez grande pour déclencher une alerte.</w:t>
      </w:r>
    </w:p>
    <w:p>
      <w:pPr>
        <w:pStyle w:val="Heading1"/>
      </w:pPr>
      <w:r>
        <w:t>2. La vision de Mahalanobis (Le spécialiste des 'Volumes Extrêmes')</w:t>
      </w:r>
    </w:p>
    <w:p>
      <w:r>
        <w:t>La distance de Mahalanobis calcule l'écart géométrique par rapport au 'centre de gravité' du comportement normal de la banque. Il est hyper-sensible aux montants colossaux et à la vélocité.</w:t>
      </w:r>
    </w:p>
    <w:p>
      <w:pPr>
        <w:pStyle w:val="ListBullet"/>
      </w:pPr>
      <w:r>
        <w:rPr>
          <w:b/>
        </w:rPr>
        <w:t xml:space="preserve">Ce qu'il signale tout seul : </w:t>
      </w:r>
      <w:r>
        <w:t>Une très grande entreprise (très connue et légitime) qui envoie soudainement 50 millions de TND, ce qui représente 100 fois sa moyenne habituelle.</w:t>
      </w:r>
    </w:p>
    <w:p>
      <w:pPr>
        <w:pStyle w:val="ListBullet"/>
      </w:pPr>
      <w:r>
        <w:rPr>
          <w:b/>
        </w:rPr>
        <w:t xml:space="preserve">Pourquoi Isolation Forest l'ignore : </w:t>
      </w:r>
      <w:r>
        <w:t>Parce que c'est un client très fréquent, qui utilise l'Euro vers la France. Ces données sont tellement communes que l'Isolation Forest a du mal à l'isoler rapidement dans ses arbres, malgré le fait que le montant soit gigantesque.</w:t>
      </w:r>
    </w:p>
    <w:p>
      <w:pPr>
        <w:pStyle w:val="Heading1"/>
      </w:pPr>
      <w:r>
        <w:t>3. L'Intersection de Haute Confiance (Le pire du pire)</w:t>
      </w:r>
    </w:p>
    <w:p>
      <w:r>
        <w:t>Les transactions sur lesquelles les deux algorithmes sont d'accord (l'intersection, soit ~214 transactions) représentent les cas les plus dangereux de toute la base de données.</w:t>
      </w:r>
    </w:p>
    <w:p>
      <w:r>
        <w:t>Pour faire partie de cette Haute Confiance, une transaction doit présenter les deux caractéristiques :</w:t>
      </w:r>
    </w:p>
    <w:p>
      <w:pPr>
        <w:pStyle w:val="ListNumber"/>
      </w:pPr>
      <w:r>
        <w:rPr>
          <w:b/>
        </w:rPr>
        <w:t xml:space="preserve">Des caractéristiques de forme aberrantes </w:t>
      </w:r>
      <w:r>
        <w:t>(Client rare, devise exotique, pays à risque) 👉 Signalé par Isolation Forest.</w:t>
      </w:r>
    </w:p>
    <w:p>
      <w:pPr>
        <w:pStyle w:val="ListNumber"/>
      </w:pPr>
      <w:r>
        <w:rPr>
          <w:b/>
        </w:rPr>
        <w:t xml:space="preserve">Un comportement de volume extrême </w:t>
      </w:r>
      <w:r>
        <w:t>(Montant colossal, rafale de virements soudaine) 👉 Signalé par Mahalanobis.</w:t>
      </w:r>
    </w:p>
    <w:p>
      <w:pPr>
        <w:pStyle w:val="Heading2"/>
      </w:pPr>
      <w:r>
        <w:t>Conclusion pour l'équipe de conformité</w:t>
      </w:r>
    </w:p>
    <w:p>
      <w:r>
        <w:t>Dans notre architecture métier, cette séparation permet de prioriser le travail des analystes AML (Anti-Money Laundering) :</w:t>
      </w:r>
    </w:p>
    <w:p>
      <w:pPr>
        <w:pStyle w:val="ListBullet"/>
      </w:pPr>
      <w:r>
        <w:rPr>
          <w:b/>
        </w:rPr>
        <w:t xml:space="preserve">Priorité 1 (Alerte Rouge) : </w:t>
      </w:r>
      <w:r>
        <w:t>Les transactions de Haute Confiance (Consensus des deux modèles).</w:t>
      </w:r>
    </w:p>
    <w:p>
      <w:pPr>
        <w:pStyle w:val="ListBullet"/>
      </w:pPr>
      <w:r>
        <w:rPr>
          <w:b/>
        </w:rPr>
        <w:t xml:space="preserve">Priorité 2 (Investigation Comportementale) : </w:t>
      </w:r>
      <w:r>
        <w:t>Les atypismes modérés signalés par un seul des modèles, permettant de surveiller séparément les anomalies de 'Rareté de profil' et les anomalies de 'Volume financier'.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