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Nomenclature and Equation References</w:t>
      </w:r>
    </w:p>
    <w:p>
      <w:pPr>
        <w:jc w:val="center"/>
      </w:pPr>
      <w:r>
        <w:rPr>
          <w:i/>
        </w:rPr>
        <w:t>Corrected HVAC reduced-order degradation framework</w:t>
      </w:r>
    </w:p>
    <w:p>
      <w:r>
        <w:rPr>
          <w:b/>
        </w:rPr>
        <w:t xml:space="preserve">Editorial note. </w:t>
      </w:r>
      <w:r>
        <w:t>The table uses unambiguous recommended manuscript notation. In particular, γGHI,t replaces the first use of gₜ, nd,t replaces the day-of-year use of dₜ, and overbarred objective indicators replace eₜ, dₜ, cₜ, and gₜ. This removes symbol collisions in the earlier equation draft. Units marked “–” are dimensionless.</w:t>
      </w:r>
    </w:p>
    <w:p>
      <w:pPr>
        <w:pStyle w:val="Heading1"/>
      </w:pPr>
      <w:r>
        <w:t>1. Nomenclature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800"/>
            <w:shd w:fill="1F4E78"/>
            <w:vAlign w:val="center"/>
          </w:tcPr>
          <w:p>
            <w:r>
              <w:rPr>
                <w:b/>
                <w:color w:val="FFFFFF"/>
                <w:sz w:val="16"/>
              </w:rPr>
              <w:t>Category</w:t>
            </w:r>
          </w:p>
        </w:tc>
        <w:tc>
          <w:tcPr>
            <w:tcW w:type="dxa" w:w="1800"/>
            <w:shd w:fill="1F4E78"/>
            <w:vAlign w:val="center"/>
          </w:tcPr>
          <w:p>
            <w:r>
              <w:rPr>
                <w:b/>
                <w:color w:val="FFFFFF"/>
                <w:sz w:val="16"/>
              </w:rPr>
              <w:t>Symbol</w:t>
            </w:r>
          </w:p>
        </w:tc>
        <w:tc>
          <w:tcPr>
            <w:tcW w:type="dxa" w:w="5616"/>
            <w:shd w:fill="1F4E78"/>
            <w:vAlign w:val="center"/>
          </w:tcPr>
          <w:p>
            <w:r>
              <w:rPr>
                <w:b/>
                <w:color w:val="FFFFFF"/>
                <w:sz w:val="16"/>
              </w:rPr>
              <w:t>Definition</w:t>
            </w:r>
          </w:p>
        </w:tc>
        <w:tc>
          <w:tcPr>
            <w:tcW w:type="dxa" w:w="1728"/>
            <w:shd w:fill="1F4E78"/>
            <w:vAlign w:val="center"/>
          </w:tcPr>
          <w:p>
            <w:r>
              <w:rPr>
                <w:b/>
                <w:color w:val="FFFFFF"/>
                <w:sz w:val="16"/>
              </w:rPr>
              <w:t>SI unit</w:t>
            </w:r>
          </w:p>
        </w:tc>
        <w:tc>
          <w:tcPr>
            <w:tcW w:type="dxa" w:w="1224"/>
            <w:shd w:fill="1F4E78"/>
            <w:vAlign w:val="center"/>
          </w:tcPr>
          <w:p>
            <w:r>
              <w:rPr>
                <w:b/>
                <w:color w:val="FFFFFF"/>
                <w:sz w:val="16"/>
              </w:rPr>
              <w:t>Equation(s)</w:t>
            </w:r>
          </w:p>
        </w:tc>
        <w:tc>
          <w:tcPr>
            <w:tcW w:type="dxa" w:w="2880"/>
            <w:shd w:fill="1F4E78"/>
            <w:vAlign w:val="center"/>
          </w:tcPr>
          <w:p>
            <w:r>
              <w:rPr>
                <w:b/>
                <w:color w:val="FFFFFF"/>
                <w:sz w:val="16"/>
              </w:rPr>
              <w:t>Implementation note</w:t>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w:t>
            </w:r>
          </w:p>
        </w:tc>
        <w:tc>
          <w:tcPr>
            <w:tcW w:type="dxa" w:w="5616"/>
            <w:vAlign w:val="top"/>
            <w:tcMar>
              <w:top w:w="80" w:type="dxa"/>
              <w:start w:w="80" w:type="dxa"/>
              <w:bottom w:w="80" w:type="dxa"/>
              <w:end w:w="80" w:type="dxa"/>
            </w:tcMar>
            <w:shd w:fill="F2F6FA"/>
          </w:tcPr>
          <w:p>
            <w:pPr>
              <w:spacing w:after="0"/>
            </w:pPr>
            <w:r>
              <w:rPr>
                <w:rFonts w:ascii="Arial" w:hAnsi="Arial"/>
                <w:sz w:val="15"/>
              </w:rPr>
              <w:t>Simulation time-step index</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5–61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k</w:t>
            </w:r>
          </w:p>
        </w:tc>
        <w:tc>
          <w:tcPr>
            <w:tcW w:type="dxa" w:w="5616"/>
            <w:vAlign w:val="top"/>
            <w:tcMar>
              <w:top w:w="80" w:type="dxa"/>
              <w:start w:w="80" w:type="dxa"/>
              <w:bottom w:w="80" w:type="dxa"/>
              <w:end w:w="80" w:type="dxa"/>
            </w:tcMar>
          </w:tcPr>
          <w:p>
            <w:pPr>
              <w:spacing w:after="0"/>
            </w:pPr>
            <w:r>
              <w:rPr>
                <w:rFonts w:ascii="Arial" w:hAnsi="Arial"/>
                <w:sz w:val="15"/>
              </w:rPr>
              <w:t>Stochastic-search iteration index</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52–55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i</w:t>
            </w:r>
          </w:p>
        </w:tc>
        <w:tc>
          <w:tcPr>
            <w:tcW w:type="dxa" w:w="5616"/>
            <w:vAlign w:val="top"/>
            <w:tcMar>
              <w:top w:w="80" w:type="dxa"/>
              <w:start w:w="80" w:type="dxa"/>
              <w:bottom w:w="80" w:type="dxa"/>
              <w:end w:w="80" w:type="dxa"/>
            </w:tcMar>
            <w:shd w:fill="F2F6FA"/>
          </w:tcPr>
          <w:p>
            <w:pPr>
              <w:spacing w:after="0"/>
            </w:pPr>
            <w:r>
              <w:rPr>
                <w:rFonts w:ascii="Arial" w:hAnsi="Arial"/>
                <w:sz w:val="15"/>
              </w:rPr>
              <w:t>Candidate-solution index</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53–55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j</w:t>
            </w:r>
          </w:p>
        </w:tc>
        <w:tc>
          <w:tcPr>
            <w:tcW w:type="dxa" w:w="5616"/>
            <w:vAlign w:val="top"/>
            <w:tcMar>
              <w:top w:w="80" w:type="dxa"/>
              <w:start w:w="80" w:type="dxa"/>
              <w:bottom w:w="80" w:type="dxa"/>
              <w:end w:w="80" w:type="dxa"/>
            </w:tcMar>
          </w:tcPr>
          <w:p>
            <w:pPr>
              <w:spacing w:after="0"/>
            </w:pPr>
            <w:r>
              <w:rPr>
                <w:rFonts w:ascii="Arial" w:hAnsi="Arial"/>
                <w:sz w:val="15"/>
              </w:rPr>
              <w:t>Energy component index: HVAC, fan, pump, or auxiliary</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41–43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m</w:t>
            </w:r>
          </w:p>
        </w:tc>
        <w:tc>
          <w:tcPr>
            <w:tcW w:type="dxa" w:w="5616"/>
            <w:vAlign w:val="top"/>
            <w:tcMar>
              <w:top w:w="80" w:type="dxa"/>
              <w:start w:w="80" w:type="dxa"/>
              <w:bottom w:w="80" w:type="dxa"/>
              <w:end w:w="80" w:type="dxa"/>
            </w:tcMar>
            <w:shd w:fill="F2F6FA"/>
          </w:tcPr>
          <w:p>
            <w:pPr>
              <w:spacing w:after="0"/>
            </w:pPr>
            <w:r>
              <w:rPr>
                <w:rFonts w:ascii="Arial" w:hAnsi="Arial"/>
                <w:sz w:val="15"/>
              </w:rPr>
              <w:t>Calendar month index</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26–29, 38, 41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rₜ</w:t>
            </w:r>
          </w:p>
        </w:tc>
        <w:tc>
          <w:tcPr>
            <w:tcW w:type="dxa" w:w="5616"/>
            <w:vAlign w:val="top"/>
            <w:tcMar>
              <w:top w:w="80" w:type="dxa"/>
              <w:start w:w="80" w:type="dxa"/>
              <w:bottom w:w="80" w:type="dxa"/>
              <w:end w:w="80" w:type="dxa"/>
            </w:tcMar>
          </w:tcPr>
          <w:p>
            <w:pPr>
              <w:spacing w:after="0"/>
            </w:pPr>
            <w:r>
              <w:rPr>
                <w:rFonts w:ascii="Arial" w:hAnsi="Arial"/>
                <w:sz w:val="15"/>
              </w:rPr>
              <w:t>Rule-based operational-state label assigned at time step t</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Δt</w:t>
            </w:r>
          </w:p>
        </w:tc>
        <w:tc>
          <w:tcPr>
            <w:tcW w:type="dxa" w:w="5616"/>
            <w:vAlign w:val="top"/>
            <w:tcMar>
              <w:top w:w="80" w:type="dxa"/>
              <w:start w:w="80" w:type="dxa"/>
              <w:bottom w:w="80" w:type="dxa"/>
              <w:end w:w="80" w:type="dxa"/>
            </w:tcMar>
            <w:shd w:fill="F2F6FA"/>
          </w:tcPr>
          <w:p>
            <w:pPr>
              <w:spacing w:after="0"/>
            </w:pPr>
            <w:r>
              <w:rPr>
                <w:rFonts w:ascii="Arial" w:hAnsi="Arial"/>
                <w:sz w:val="15"/>
              </w:rPr>
              <w:t>Simulation time-step duration</w:t>
            </w:r>
          </w:p>
        </w:tc>
        <w:tc>
          <w:tcPr>
            <w:tcW w:type="dxa" w:w="1728"/>
            <w:vAlign w:val="top"/>
            <w:tcMar>
              <w:top w:w="80" w:type="dxa"/>
              <w:start w:w="80" w:type="dxa"/>
              <w:bottom w:w="80" w:type="dxa"/>
              <w:end w:w="80" w:type="dxa"/>
            </w:tcMar>
            <w:shd w:fill="F2F6FA"/>
          </w:tcPr>
          <w:p>
            <w:pPr>
              <w:spacing w:after="0"/>
            </w:pPr>
            <w:r>
              <w:rPr>
                <w:rFonts w:ascii="Arial" w:hAnsi="Arial"/>
                <w:sz w:val="15"/>
              </w:rPr>
              <w:t>h</w:t>
            </w:r>
          </w:p>
        </w:tc>
        <w:tc>
          <w:tcPr>
            <w:tcW w:type="dxa" w:w="1224"/>
            <w:vAlign w:val="top"/>
            <w:tcMar>
              <w:top w:w="80" w:type="dxa"/>
              <w:start w:w="80" w:type="dxa"/>
              <w:bottom w:w="80" w:type="dxa"/>
              <w:end w:w="80" w:type="dxa"/>
            </w:tcMar>
            <w:shd w:fill="F2F6FA"/>
          </w:tcPr>
          <w:p>
            <w:pPr>
              <w:spacing w:after="0"/>
            </w:pPr>
            <w:r>
              <w:rPr>
                <w:rFonts w:ascii="Arial" w:hAnsi="Arial"/>
                <w:sz w:val="15"/>
              </w:rPr>
              <w:t>22–25, 43, 49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τ = Δt/24</w:t>
            </w:r>
          </w:p>
        </w:tc>
        <w:tc>
          <w:tcPr>
            <w:tcW w:type="dxa" w:w="5616"/>
            <w:vAlign w:val="top"/>
            <w:tcMar>
              <w:top w:w="80" w:type="dxa"/>
              <w:start w:w="80" w:type="dxa"/>
              <w:bottom w:w="80" w:type="dxa"/>
              <w:end w:w="80" w:type="dxa"/>
            </w:tcMar>
          </w:tcPr>
          <w:p>
            <w:pPr>
              <w:spacing w:after="0"/>
            </w:pPr>
            <w:r>
              <w:rPr>
                <w:rFonts w:ascii="Arial" w:hAnsi="Arial"/>
                <w:sz w:val="15"/>
              </w:rPr>
              <w:t>Simulation time-step duration expressed in days</w:t>
            </w:r>
          </w:p>
        </w:tc>
        <w:tc>
          <w:tcPr>
            <w:tcW w:type="dxa" w:w="1728"/>
            <w:vAlign w:val="top"/>
            <w:tcMar>
              <w:top w:w="80" w:type="dxa"/>
              <w:start w:w="80" w:type="dxa"/>
              <w:bottom w:w="80" w:type="dxa"/>
              <w:end w:w="80" w:type="dxa"/>
            </w:tcMar>
          </w:tcPr>
          <w:p>
            <w:pPr>
              <w:spacing w:after="0"/>
            </w:pPr>
            <w:r>
              <w:rPr>
                <w:rFonts w:ascii="Arial" w:hAnsi="Arial"/>
                <w:sz w:val="15"/>
              </w:rPr>
              <w:t>day</w:t>
            </w:r>
          </w:p>
        </w:tc>
        <w:tc>
          <w:tcPr>
            <w:tcW w:type="dxa" w:w="1224"/>
            <w:vAlign w:val="top"/>
            <w:tcMar>
              <w:top w:w="80" w:type="dxa"/>
              <w:start w:w="80" w:type="dxa"/>
              <w:bottom w:w="80" w:type="dxa"/>
              <w:end w:w="80" w:type="dxa"/>
            </w:tcMar>
          </w:tcPr>
          <w:p>
            <w:pPr>
              <w:spacing w:after="0"/>
            </w:pPr>
            <w:r>
              <w:rPr>
                <w:rFonts w:ascii="Arial" w:hAnsi="Arial"/>
                <w:sz w:val="15"/>
              </w:rPr>
              <w:t>30–31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clip(x,l,u)</w:t>
            </w:r>
          </w:p>
        </w:tc>
        <w:tc>
          <w:tcPr>
            <w:tcW w:type="dxa" w:w="5616"/>
            <w:vAlign w:val="top"/>
            <w:tcMar>
              <w:top w:w="80" w:type="dxa"/>
              <w:start w:w="80" w:type="dxa"/>
              <w:bottom w:w="80" w:type="dxa"/>
              <w:end w:w="80" w:type="dxa"/>
            </w:tcMar>
            <w:shd w:fill="F2F6FA"/>
          </w:tcPr>
          <w:p>
            <w:pPr>
              <w:spacing w:after="0"/>
            </w:pPr>
            <w:r>
              <w:rPr>
                <w:rFonts w:ascii="Arial" w:hAnsi="Arial"/>
                <w:sz w:val="15"/>
              </w:rPr>
              <w:t>Clipping operator that limits x to the interval [l,u]</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10, 24, 27, 38, 41–42, 53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max(·), min(·)</w:t>
            </w:r>
          </w:p>
        </w:tc>
        <w:tc>
          <w:tcPr>
            <w:tcW w:type="dxa" w:w="5616"/>
            <w:vAlign w:val="top"/>
            <w:tcMar>
              <w:top w:w="80" w:type="dxa"/>
              <w:start w:w="80" w:type="dxa"/>
              <w:bottom w:w="80" w:type="dxa"/>
              <w:end w:w="80" w:type="dxa"/>
            </w:tcMar>
          </w:tcPr>
          <w:p>
            <w:pPr>
              <w:spacing w:after="0"/>
            </w:pPr>
            <w:r>
              <w:rPr>
                <w:rFonts w:ascii="Arial" w:hAnsi="Arial"/>
                <w:sz w:val="15"/>
              </w:rPr>
              <w:t>Maximum and minimum operators</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7, 9–11, 15, 23, 25, 29, 32, 34–35, 38–40, 54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w:t>
            </w:r>
          </w:p>
        </w:tc>
        <w:tc>
          <w:tcPr>
            <w:tcW w:type="dxa" w:w="5616"/>
            <w:vAlign w:val="top"/>
            <w:tcMar>
              <w:top w:w="80" w:type="dxa"/>
              <w:start w:w="80" w:type="dxa"/>
              <w:bottom w:w="80" w:type="dxa"/>
              <w:end w:w="80" w:type="dxa"/>
            </w:tcMar>
            <w:shd w:fill="F2F6FA"/>
          </w:tcPr>
          <w:p>
            <w:pPr>
              <w:spacing w:after="0"/>
            </w:pPr>
            <w:r>
              <w:rPr>
                <w:rFonts w:ascii="Arial" w:hAnsi="Arial"/>
                <w:sz w:val="15"/>
              </w:rPr>
              <w:t>Floor operator</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54</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w:t>
            </w:r>
          </w:p>
        </w:tc>
        <w:tc>
          <w:tcPr>
            <w:tcW w:type="dxa" w:w="5616"/>
            <w:vAlign w:val="top"/>
            <w:tcMar>
              <w:top w:w="80" w:type="dxa"/>
              <w:start w:w="80" w:type="dxa"/>
              <w:bottom w:w="80" w:type="dxa"/>
              <w:end w:w="80" w:type="dxa"/>
            </w:tcMar>
          </w:tcPr>
          <w:p>
            <w:pPr>
              <w:spacing w:after="0"/>
            </w:pPr>
            <w:r>
              <w:rPr>
                <w:rFonts w:ascii="Arial" w:hAnsi="Arial"/>
                <w:sz w:val="15"/>
              </w:rPr>
              <w:t>Element-wise vector multiplication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𝒩(0,I)</w:t>
            </w:r>
          </w:p>
        </w:tc>
        <w:tc>
          <w:tcPr>
            <w:tcW w:type="dxa" w:w="5616"/>
            <w:vAlign w:val="top"/>
            <w:tcMar>
              <w:top w:w="80" w:type="dxa"/>
              <w:start w:w="80" w:type="dxa"/>
              <w:bottom w:w="80" w:type="dxa"/>
              <w:end w:w="80" w:type="dxa"/>
            </w:tcMar>
            <w:shd w:fill="F2F6FA"/>
          </w:tcPr>
          <w:p>
            <w:pPr>
              <w:spacing w:after="0"/>
            </w:pPr>
            <w:r>
              <w:rPr>
                <w:rFonts w:ascii="Arial" w:hAnsi="Arial"/>
                <w:sz w:val="15"/>
              </w:rPr>
              <w:t>Multivariate standard normal distribution</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I</w:t>
            </w:r>
          </w:p>
        </w:tc>
        <w:tc>
          <w:tcPr>
            <w:tcW w:type="dxa" w:w="5616"/>
            <w:vAlign w:val="top"/>
            <w:tcMar>
              <w:top w:w="80" w:type="dxa"/>
              <w:start w:w="80" w:type="dxa"/>
              <w:bottom w:w="80" w:type="dxa"/>
              <w:end w:w="80" w:type="dxa"/>
            </w:tcMar>
          </w:tcPr>
          <w:p>
            <w:pPr>
              <w:spacing w:after="0"/>
            </w:pPr>
            <w:r>
              <w:rPr>
                <w:rFonts w:ascii="Arial" w:hAnsi="Arial"/>
                <w:sz w:val="15"/>
              </w:rPr>
              <w:t>Identity matrix in the Gaussian candidate distribution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ℰₖ</w:t>
            </w:r>
          </w:p>
        </w:tc>
        <w:tc>
          <w:tcPr>
            <w:tcW w:type="dxa" w:w="5616"/>
            <w:vAlign w:val="top"/>
            <w:tcMar>
              <w:top w:w="80" w:type="dxa"/>
              <w:start w:w="80" w:type="dxa"/>
              <w:bottom w:w="80" w:type="dxa"/>
              <w:end w:w="80" w:type="dxa"/>
            </w:tcMar>
            <w:shd w:fill="F2F6FA"/>
          </w:tcPr>
          <w:p>
            <w:pPr>
              <w:spacing w:after="0"/>
            </w:pPr>
            <w:r>
              <w:rPr>
                <w:rFonts w:ascii="Arial" w:hAnsi="Arial"/>
                <w:sz w:val="15"/>
              </w:rPr>
              <w:t>Elite candidate set at search iteration k</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Indices and operators</w:t>
            </w:r>
          </w:p>
        </w:tc>
        <w:tc>
          <w:tcPr>
            <w:tcW w:type="dxa" w:w="1800"/>
            <w:vAlign w:val="top"/>
            <w:tcMar>
              <w:top w:w="80" w:type="dxa"/>
              <w:start w:w="80" w:type="dxa"/>
              <w:bottom w:w="80" w:type="dxa"/>
              <w:end w:w="80" w:type="dxa"/>
            </w:tcMar>
          </w:tcPr>
          <w:p>
            <w:pPr>
              <w:spacing w:after="0"/>
            </w:pPr>
            <w:r>
              <w:rPr>
                <w:rFonts w:ascii="Cambria Math" w:hAnsi="Cambria Math"/>
                <w:sz w:val="15"/>
              </w:rPr>
              <w:t>(·)⁺</w:t>
            </w:r>
          </w:p>
        </w:tc>
        <w:tc>
          <w:tcPr>
            <w:tcW w:type="dxa" w:w="5616"/>
            <w:vAlign w:val="top"/>
            <w:tcMar>
              <w:top w:w="80" w:type="dxa"/>
              <w:start w:w="80" w:type="dxa"/>
              <w:bottom w:w="80" w:type="dxa"/>
              <w:end w:w="80" w:type="dxa"/>
            </w:tcMar>
          </w:tcPr>
          <w:p>
            <w:pPr>
              <w:spacing w:after="0"/>
            </w:pPr>
            <w:r>
              <w:rPr>
                <w:rFonts w:ascii="Arial" w:hAnsi="Arial"/>
                <w:sz w:val="15"/>
              </w:rPr>
              <w:t>State immediately after maintenance restoration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Indices and operators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(·)raw, (·)(s), (·)final</w:t>
            </w:r>
          </w:p>
        </w:tc>
        <w:tc>
          <w:tcPr>
            <w:tcW w:type="dxa" w:w="5616"/>
            <w:vAlign w:val="top"/>
            <w:tcMar>
              <w:top w:w="80" w:type="dxa"/>
              <w:start w:w="80" w:type="dxa"/>
              <w:bottom w:w="80" w:type="dxa"/>
              <w:end w:w="80" w:type="dxa"/>
            </w:tcMar>
            <w:shd w:fill="F2F6FA"/>
          </w:tcPr>
          <w:p>
            <w:pPr>
              <w:spacing w:after="0"/>
            </w:pPr>
            <w:r>
              <w:rPr>
                <w:rFonts w:ascii="Arial" w:hAnsi="Arial"/>
                <w:sz w:val="15"/>
              </w:rPr>
              <w:t>Raw, seasonally corrected, and final operational-state-corrected quantities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41–43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A</w:t>
            </w:r>
          </w:p>
        </w:tc>
        <w:tc>
          <w:tcPr>
            <w:tcW w:type="dxa" w:w="5616"/>
            <w:vAlign w:val="top"/>
            <w:tcMar>
              <w:top w:w="80" w:type="dxa"/>
              <w:start w:w="80" w:type="dxa"/>
              <w:bottom w:w="80" w:type="dxa"/>
              <w:end w:w="80" w:type="dxa"/>
            </w:tcMar>
          </w:tcPr>
          <w:p>
            <w:pPr>
              <w:spacing w:after="0"/>
            </w:pPr>
            <w:r>
              <w:rPr>
                <w:rFonts w:ascii="Arial" w:hAnsi="Arial"/>
                <w:sz w:val="15"/>
              </w:rPr>
              <w:t>Conditioned floor area</w:t>
            </w:r>
          </w:p>
        </w:tc>
        <w:tc>
          <w:tcPr>
            <w:tcW w:type="dxa" w:w="1728"/>
            <w:vAlign w:val="top"/>
            <w:tcMar>
              <w:top w:w="80" w:type="dxa"/>
              <w:start w:w="80" w:type="dxa"/>
              <w:bottom w:w="80" w:type="dxa"/>
              <w:end w:w="80" w:type="dxa"/>
            </w:tcMar>
          </w:tcPr>
          <w:p>
            <w:pPr>
              <w:spacing w:after="0"/>
            </w:pPr>
            <w:r>
              <w:rPr>
                <w:rFonts w:ascii="Arial" w:hAnsi="Arial"/>
                <w:sz w:val="15"/>
              </w:rPr>
              <w:t>m²</w:t>
            </w:r>
          </w:p>
        </w:tc>
        <w:tc>
          <w:tcPr>
            <w:tcW w:type="dxa" w:w="1224"/>
            <w:vAlign w:val="top"/>
            <w:tcMar>
              <w:top w:w="80" w:type="dxa"/>
              <w:start w:w="80" w:type="dxa"/>
              <w:bottom w:w="80" w:type="dxa"/>
              <w:end w:w="80" w:type="dxa"/>
            </w:tcMar>
          </w:tcPr>
          <w:p>
            <w:pPr>
              <w:spacing w:after="0"/>
            </w:pPr>
            <w:r>
              <w:rPr>
                <w:rFonts w:ascii="Arial" w:hAnsi="Arial"/>
                <w:sz w:val="15"/>
              </w:rPr>
              <w:t>1–8, 19, 21, 40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qᶜ,A</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design cooling intensity</w:t>
            </w:r>
          </w:p>
        </w:tc>
        <w:tc>
          <w:tcPr>
            <w:tcW w:type="dxa" w:w="1728"/>
            <w:vAlign w:val="top"/>
            <w:tcMar>
              <w:top w:w="80" w:type="dxa"/>
              <w:start w:w="80" w:type="dxa"/>
              <w:bottom w:w="80" w:type="dxa"/>
              <w:end w:w="80" w:type="dxa"/>
            </w:tcMar>
            <w:shd w:fill="F2F6FA"/>
          </w:tcPr>
          <w:p>
            <w:pPr>
              <w:spacing w:after="0"/>
            </w:pPr>
            <w:r>
              <w:rPr>
                <w:rFonts w:ascii="Arial" w:hAnsi="Arial"/>
                <w:sz w:val="15"/>
              </w:rPr>
              <w:t>W m⁻²</w:t>
            </w:r>
          </w:p>
        </w:tc>
        <w:tc>
          <w:tcPr>
            <w:tcW w:type="dxa" w:w="1224"/>
            <w:vAlign w:val="top"/>
            <w:tcMar>
              <w:top w:w="80" w:type="dxa"/>
              <w:start w:w="80" w:type="dxa"/>
              <w:bottom w:w="80" w:type="dxa"/>
              <w:end w:w="80" w:type="dxa"/>
            </w:tcMar>
            <w:shd w:fill="F2F6FA"/>
          </w:tcPr>
          <w:p>
            <w:pPr>
              <w:spacing w:after="0"/>
            </w:pPr>
            <w:r>
              <w:rPr>
                <w:rFonts w:ascii="Arial" w:hAnsi="Arial"/>
                <w:sz w:val="15"/>
              </w:rPr>
              <w:t>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qʰ,A</w:t>
            </w:r>
          </w:p>
        </w:tc>
        <w:tc>
          <w:tcPr>
            <w:tcW w:type="dxa" w:w="5616"/>
            <w:vAlign w:val="top"/>
            <w:tcMar>
              <w:top w:w="80" w:type="dxa"/>
              <w:start w:w="80" w:type="dxa"/>
              <w:bottom w:w="80" w:type="dxa"/>
              <w:end w:w="80" w:type="dxa"/>
            </w:tcMar>
          </w:tcPr>
          <w:p>
            <w:pPr>
              <w:spacing w:after="0"/>
            </w:pPr>
            <w:r>
              <w:rPr>
                <w:rFonts w:ascii="Arial" w:hAnsi="Arial"/>
                <w:sz w:val="15"/>
              </w:rPr>
              <w:t>Area-normalized design heating intensity</w:t>
            </w:r>
          </w:p>
        </w:tc>
        <w:tc>
          <w:tcPr>
            <w:tcW w:type="dxa" w:w="1728"/>
            <w:vAlign w:val="top"/>
            <w:tcMar>
              <w:top w:w="80" w:type="dxa"/>
              <w:start w:w="80" w:type="dxa"/>
              <w:bottom w:w="80" w:type="dxa"/>
              <w:end w:w="80" w:type="dxa"/>
            </w:tcMar>
          </w:tcPr>
          <w:p>
            <w:pPr>
              <w:spacing w:after="0"/>
            </w:pPr>
            <w:r>
              <w:rPr>
                <w:rFonts w:ascii="Arial" w:hAnsi="Arial"/>
                <w:sz w:val="15"/>
              </w:rPr>
              <w:t>W m⁻²</w:t>
            </w:r>
          </w:p>
        </w:tc>
        <w:tc>
          <w:tcPr>
            <w:tcW w:type="dxa" w:w="1224"/>
            <w:vAlign w:val="top"/>
            <w:tcMar>
              <w:top w:w="80" w:type="dxa"/>
              <w:start w:w="80" w:type="dxa"/>
              <w:bottom w:w="80" w:type="dxa"/>
              <w:end w:w="80" w:type="dxa"/>
            </w:tcMar>
          </w:tcPr>
          <w:p>
            <w:pPr>
              <w:spacing w:after="0"/>
            </w:pPr>
            <w:r>
              <w:rPr>
                <w:rFonts w:ascii="Arial" w:hAnsi="Arial"/>
                <w:sz w:val="15"/>
              </w:rPr>
              <w:t>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Qᶜ,des</w:t>
            </w:r>
          </w:p>
        </w:tc>
        <w:tc>
          <w:tcPr>
            <w:tcW w:type="dxa" w:w="5616"/>
            <w:vAlign w:val="top"/>
            <w:tcMar>
              <w:top w:w="80" w:type="dxa"/>
              <w:start w:w="80" w:type="dxa"/>
              <w:bottom w:w="80" w:type="dxa"/>
              <w:end w:w="80" w:type="dxa"/>
            </w:tcMar>
            <w:shd w:fill="F2F6FA"/>
          </w:tcPr>
          <w:p>
            <w:pPr>
              <w:spacing w:after="0"/>
            </w:pPr>
            <w:r>
              <w:rPr>
                <w:rFonts w:ascii="Arial" w:hAnsi="Arial"/>
                <w:sz w:val="15"/>
              </w:rPr>
              <w:t>Nominal/design cooling capacity</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 12–15, 20, 23, 25, 28, 46, 49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Qʰ,des</w:t>
            </w:r>
          </w:p>
        </w:tc>
        <w:tc>
          <w:tcPr>
            <w:tcW w:type="dxa" w:w="5616"/>
            <w:vAlign w:val="top"/>
            <w:tcMar>
              <w:top w:w="80" w:type="dxa"/>
              <w:start w:w="80" w:type="dxa"/>
              <w:bottom w:w="80" w:type="dxa"/>
              <w:end w:w="80" w:type="dxa"/>
            </w:tcMar>
          </w:tcPr>
          <w:p>
            <w:pPr>
              <w:spacing w:after="0"/>
            </w:pPr>
            <w:r>
              <w:rPr>
                <w:rFonts w:ascii="Arial" w:hAnsi="Arial"/>
                <w:sz w:val="15"/>
              </w:rPr>
              <w:t>Nominal/design heating capacity</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2, 16, 20, 23, 25, 28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v̇air,A</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nominal airflow rate</w:t>
            </w:r>
          </w:p>
        </w:tc>
        <w:tc>
          <w:tcPr>
            <w:tcW w:type="dxa" w:w="1728"/>
            <w:vAlign w:val="top"/>
            <w:tcMar>
              <w:top w:w="80" w:type="dxa"/>
              <w:start w:w="80" w:type="dxa"/>
              <w:bottom w:w="80" w:type="dxa"/>
              <w:end w:w="80" w:type="dxa"/>
            </w:tcMar>
            <w:shd w:fill="F2F6FA"/>
          </w:tcPr>
          <w:p>
            <w:pPr>
              <w:spacing w:after="0"/>
            </w:pPr>
            <w:r>
              <w:rPr>
                <w:rFonts w:ascii="Arial" w:hAnsi="Arial"/>
                <w:sz w:val="15"/>
              </w:rPr>
              <w:t>m³ h⁻¹ m⁻²</w:t>
            </w:r>
          </w:p>
        </w:tc>
        <w:tc>
          <w:tcPr>
            <w:tcW w:type="dxa" w:w="1224"/>
            <w:vAlign w:val="top"/>
            <w:tcMar>
              <w:top w:w="80" w:type="dxa"/>
              <w:start w:w="80" w:type="dxa"/>
              <w:bottom w:w="80" w:type="dxa"/>
              <w:end w:w="80" w:type="dxa"/>
            </w:tcMar>
            <w:shd w:fill="F2F6FA"/>
          </w:tcPr>
          <w:p>
            <w:pPr>
              <w:spacing w:after="0"/>
            </w:pPr>
            <w:r>
              <w:rPr>
                <w:rFonts w:ascii="Arial" w:hAnsi="Arial"/>
                <w:sz w:val="15"/>
              </w:rPr>
              <w:t>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V̇air,nom</w:t>
            </w:r>
          </w:p>
        </w:tc>
        <w:tc>
          <w:tcPr>
            <w:tcW w:type="dxa" w:w="5616"/>
            <w:vAlign w:val="top"/>
            <w:tcMar>
              <w:top w:w="80" w:type="dxa"/>
              <w:start w:w="80" w:type="dxa"/>
              <w:bottom w:w="80" w:type="dxa"/>
              <w:end w:w="80" w:type="dxa"/>
            </w:tcMar>
          </w:tcPr>
          <w:p>
            <w:pPr>
              <w:spacing w:after="0"/>
            </w:pPr>
            <w:r>
              <w:rPr>
                <w:rFonts w:ascii="Arial" w:hAnsi="Arial"/>
                <w:sz w:val="15"/>
              </w:rPr>
              <w:t>Nominal HVAC airflow rate</w:t>
            </w:r>
          </w:p>
        </w:tc>
        <w:tc>
          <w:tcPr>
            <w:tcW w:type="dxa" w:w="1728"/>
            <w:vAlign w:val="top"/>
            <w:tcMar>
              <w:top w:w="80" w:type="dxa"/>
              <w:start w:w="80" w:type="dxa"/>
              <w:bottom w:w="80" w:type="dxa"/>
              <w:end w:w="80" w:type="dxa"/>
            </w:tcMar>
          </w:tcPr>
          <w:p>
            <w:pPr>
              <w:spacing w:after="0"/>
            </w:pPr>
            <w:r>
              <w:rPr>
                <w:rFonts w:ascii="Arial" w:hAnsi="Arial"/>
                <w:sz w:val="15"/>
              </w:rPr>
              <w:t>m³ h⁻¹</w:t>
            </w:r>
          </w:p>
        </w:tc>
        <w:tc>
          <w:tcPr>
            <w:tcW w:type="dxa" w:w="1224"/>
            <w:vAlign w:val="top"/>
            <w:tcMar>
              <w:top w:w="80" w:type="dxa"/>
              <w:start w:w="80" w:type="dxa"/>
              <w:bottom w:w="80" w:type="dxa"/>
              <w:end w:w="80" w:type="dxa"/>
            </w:tcMar>
          </w:tcPr>
          <w:p>
            <w:pPr>
              <w:spacing w:after="0"/>
            </w:pPr>
            <w:r>
              <w:rPr>
                <w:rFonts w:ascii="Arial" w:hAnsi="Arial"/>
                <w:sz w:val="15"/>
              </w:rPr>
              <w:t>3, 37, 39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Nmax</w:t>
            </w:r>
          </w:p>
        </w:tc>
        <w:tc>
          <w:tcPr>
            <w:tcW w:type="dxa" w:w="5616"/>
            <w:vAlign w:val="top"/>
            <w:tcMar>
              <w:top w:w="80" w:type="dxa"/>
              <w:start w:w="80" w:type="dxa"/>
              <w:bottom w:w="80" w:type="dxa"/>
              <w:end w:w="80" w:type="dxa"/>
            </w:tcMar>
            <w:shd w:fill="F2F6FA"/>
          </w:tcPr>
          <w:p>
            <w:pPr>
              <w:spacing w:after="0"/>
            </w:pPr>
            <w:r>
              <w:rPr>
                <w:rFonts w:ascii="Arial" w:hAnsi="Arial"/>
                <w:sz w:val="15"/>
              </w:rPr>
              <w:t>Maximum occupant count</w:t>
            </w:r>
          </w:p>
        </w:tc>
        <w:tc>
          <w:tcPr>
            <w:tcW w:type="dxa" w:w="1728"/>
            <w:vAlign w:val="top"/>
            <w:tcMar>
              <w:top w:w="80" w:type="dxa"/>
              <w:start w:w="80" w:type="dxa"/>
              <w:bottom w:w="80" w:type="dxa"/>
              <w:end w:w="80" w:type="dxa"/>
            </w:tcMar>
            <w:shd w:fill="F2F6FA"/>
          </w:tcPr>
          <w:p>
            <w:pPr>
              <w:spacing w:after="0"/>
            </w:pPr>
            <w:r>
              <w:rPr>
                <w:rFonts w:ascii="Arial" w:hAnsi="Arial"/>
                <w:sz w:val="15"/>
              </w:rPr>
              <w:t>person</w:t>
            </w:r>
          </w:p>
        </w:tc>
        <w:tc>
          <w:tcPr>
            <w:tcW w:type="dxa" w:w="1224"/>
            <w:vAlign w:val="top"/>
            <w:tcMar>
              <w:top w:w="80" w:type="dxa"/>
              <w:start w:w="80" w:type="dxa"/>
              <w:bottom w:w="80" w:type="dxa"/>
              <w:end w:w="80" w:type="dxa"/>
            </w:tcMar>
            <w:shd w:fill="F2F6FA"/>
          </w:tcPr>
          <w:p>
            <w:pPr>
              <w:spacing w:after="0"/>
            </w:pPr>
            <w:r>
              <w:rPr>
                <w:rFonts w:ascii="Arial" w:hAnsi="Arial"/>
                <w:sz w:val="15"/>
              </w:rPr>
              <w:t>4–5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ρocc</w:t>
            </w:r>
          </w:p>
        </w:tc>
        <w:tc>
          <w:tcPr>
            <w:tcW w:type="dxa" w:w="5616"/>
            <w:vAlign w:val="top"/>
            <w:tcMar>
              <w:top w:w="80" w:type="dxa"/>
              <w:start w:w="80" w:type="dxa"/>
              <w:bottom w:w="80" w:type="dxa"/>
              <w:end w:w="80" w:type="dxa"/>
            </w:tcMar>
          </w:tcPr>
          <w:p>
            <w:pPr>
              <w:spacing w:after="0"/>
            </w:pPr>
            <w:r>
              <w:rPr>
                <w:rFonts w:ascii="Arial" w:hAnsi="Arial"/>
                <w:sz w:val="15"/>
              </w:rPr>
              <w:t>Occupant density</w:t>
            </w:r>
          </w:p>
        </w:tc>
        <w:tc>
          <w:tcPr>
            <w:tcW w:type="dxa" w:w="1728"/>
            <w:vAlign w:val="top"/>
            <w:tcMar>
              <w:top w:w="80" w:type="dxa"/>
              <w:start w:w="80" w:type="dxa"/>
              <w:bottom w:w="80" w:type="dxa"/>
              <w:end w:w="80" w:type="dxa"/>
            </w:tcMar>
          </w:tcPr>
          <w:p>
            <w:pPr>
              <w:spacing w:after="0"/>
            </w:pPr>
            <w:r>
              <w:rPr>
                <w:rFonts w:ascii="Arial" w:hAnsi="Arial"/>
                <w:sz w:val="15"/>
              </w:rPr>
              <w:t>person m⁻²</w:t>
            </w:r>
          </w:p>
        </w:tc>
        <w:tc>
          <w:tcPr>
            <w:tcW w:type="dxa" w:w="1224"/>
            <w:vAlign w:val="top"/>
            <w:tcMar>
              <w:top w:w="80" w:type="dxa"/>
              <w:start w:w="80" w:type="dxa"/>
              <w:bottom w:w="80" w:type="dxa"/>
              <w:end w:w="80" w:type="dxa"/>
            </w:tcMar>
          </w:tcPr>
          <w:p>
            <w:pPr>
              <w:spacing w:after="0"/>
            </w:pPr>
            <w:r>
              <w:rPr>
                <w:rFonts w:ascii="Arial" w:hAnsi="Arial"/>
                <w:sz w:val="15"/>
              </w:rPr>
              <w:t>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V</w:t>
            </w:r>
          </w:p>
        </w:tc>
        <w:tc>
          <w:tcPr>
            <w:tcW w:type="dxa" w:w="5616"/>
            <w:vAlign w:val="top"/>
            <w:tcMar>
              <w:top w:w="80" w:type="dxa"/>
              <w:start w:w="80" w:type="dxa"/>
              <w:bottom w:w="80" w:type="dxa"/>
              <w:end w:w="80" w:type="dxa"/>
            </w:tcMar>
            <w:shd w:fill="F2F6FA"/>
          </w:tcPr>
          <w:p>
            <w:pPr>
              <w:spacing w:after="0"/>
            </w:pPr>
            <w:r>
              <w:rPr>
                <w:rFonts w:ascii="Arial" w:hAnsi="Arial"/>
                <w:sz w:val="15"/>
              </w:rPr>
              <w:t>Equivalent conditioned air volume</w:t>
            </w:r>
          </w:p>
        </w:tc>
        <w:tc>
          <w:tcPr>
            <w:tcW w:type="dxa" w:w="1728"/>
            <w:vAlign w:val="top"/>
            <w:tcMar>
              <w:top w:w="80" w:type="dxa"/>
              <w:start w:w="80" w:type="dxa"/>
              <w:bottom w:w="80" w:type="dxa"/>
              <w:end w:w="80" w:type="dxa"/>
            </w:tcMar>
            <w:shd w:fill="F2F6FA"/>
          </w:tcPr>
          <w:p>
            <w:pPr>
              <w:spacing w:after="0"/>
            </w:pPr>
            <w:r>
              <w:rPr>
                <w:rFonts w:ascii="Arial" w:hAnsi="Arial"/>
                <w:sz w:val="15"/>
              </w:rPr>
              <w:t>m³</w:t>
            </w:r>
          </w:p>
        </w:tc>
        <w:tc>
          <w:tcPr>
            <w:tcW w:type="dxa" w:w="1224"/>
            <w:vAlign w:val="top"/>
            <w:tcMar>
              <w:top w:w="80" w:type="dxa"/>
              <w:start w:w="80" w:type="dxa"/>
              <w:bottom w:w="80" w:type="dxa"/>
              <w:end w:w="80" w:type="dxa"/>
            </w:tcMar>
            <w:shd w:fill="F2F6FA"/>
          </w:tcPr>
          <w:p>
            <w:pPr>
              <w:spacing w:after="0"/>
            </w:pPr>
            <w:r>
              <w:rPr>
                <w:rFonts w:ascii="Arial" w:hAnsi="Arial"/>
                <w:sz w:val="15"/>
              </w:rPr>
              <w:t>21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tcPr>
          <w:p>
            <w:pPr>
              <w:spacing w:after="0"/>
            </w:pPr>
            <w:r>
              <w:rPr>
                <w:rFonts w:ascii="Cambria Math" w:hAnsi="Cambria Math"/>
                <w:sz w:val="15"/>
              </w:rPr>
              <w:t>hf</w:t>
            </w:r>
          </w:p>
        </w:tc>
        <w:tc>
          <w:tcPr>
            <w:tcW w:type="dxa" w:w="5616"/>
            <w:vAlign w:val="top"/>
            <w:tcMar>
              <w:top w:w="80" w:type="dxa"/>
              <w:start w:w="80" w:type="dxa"/>
              <w:bottom w:w="80" w:type="dxa"/>
              <w:end w:w="80" w:type="dxa"/>
            </w:tcMar>
          </w:tcPr>
          <w:p>
            <w:pPr>
              <w:spacing w:after="0"/>
            </w:pPr>
            <w:r>
              <w:rPr>
                <w:rFonts w:ascii="Arial" w:hAnsi="Arial"/>
                <w:sz w:val="15"/>
              </w:rPr>
              <w:t>Floor-to-floor height used to estimate V = Ahf</w:t>
            </w:r>
          </w:p>
        </w:tc>
        <w:tc>
          <w:tcPr>
            <w:tcW w:type="dxa" w:w="1728"/>
            <w:vAlign w:val="top"/>
            <w:tcMar>
              <w:top w:w="80" w:type="dxa"/>
              <w:start w:w="80" w:type="dxa"/>
              <w:bottom w:w="80" w:type="dxa"/>
              <w:end w:w="80" w:type="dxa"/>
            </w:tcMar>
          </w:tcPr>
          <w:p>
            <w:pPr>
              <w:spacing w:after="0"/>
            </w:pPr>
            <w:r>
              <w:rPr>
                <w:rFonts w:ascii="Arial" w:hAnsi="Arial"/>
                <w:sz w:val="15"/>
              </w:rPr>
              <w:t>m</w:t>
            </w:r>
          </w:p>
        </w:tc>
        <w:tc>
          <w:tcPr>
            <w:tcW w:type="dxa" w:w="1224"/>
            <w:vAlign w:val="top"/>
            <w:tcMar>
              <w:top w:w="80" w:type="dxa"/>
              <w:start w:w="80" w:type="dxa"/>
              <w:bottom w:w="80" w:type="dxa"/>
              <w:end w:w="80" w:type="dxa"/>
            </w:tcMar>
          </w:tcPr>
          <w:p>
            <w:pPr>
              <w:spacing w:after="0"/>
            </w:pPr>
            <w:r>
              <w:rPr>
                <w:rFonts w:ascii="Arial" w:hAnsi="Arial"/>
                <w:sz w:val="15"/>
              </w:rPr>
              <w:t>21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Building and design quantities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ACH</w:t>
            </w:r>
          </w:p>
        </w:tc>
        <w:tc>
          <w:tcPr>
            <w:tcW w:type="dxa" w:w="5616"/>
            <w:vAlign w:val="top"/>
            <w:tcMar>
              <w:top w:w="80" w:type="dxa"/>
              <w:start w:w="80" w:type="dxa"/>
              <w:bottom w:w="80" w:type="dxa"/>
              <w:end w:w="80" w:type="dxa"/>
            </w:tcMar>
            <w:shd w:fill="F2F6FA"/>
          </w:tcPr>
          <w:p>
            <w:pPr>
              <w:spacing w:after="0"/>
            </w:pPr>
            <w:r>
              <w:rPr>
                <w:rFonts w:ascii="Arial" w:hAnsi="Arial"/>
                <w:sz w:val="15"/>
              </w:rPr>
              <w:t>Air infiltration rate</w:t>
            </w:r>
          </w:p>
        </w:tc>
        <w:tc>
          <w:tcPr>
            <w:tcW w:type="dxa" w:w="1728"/>
            <w:vAlign w:val="top"/>
            <w:tcMar>
              <w:top w:w="80" w:type="dxa"/>
              <w:start w:w="80" w:type="dxa"/>
              <w:bottom w:w="80" w:type="dxa"/>
              <w:end w:w="80" w:type="dxa"/>
            </w:tcMar>
            <w:shd w:fill="F2F6FA"/>
          </w:tcPr>
          <w:p>
            <w:pPr>
              <w:spacing w:after="0"/>
            </w:pPr>
            <w:r>
              <w:rPr>
                <w:rFonts w:ascii="Arial" w:hAnsi="Arial"/>
                <w:sz w:val="15"/>
              </w:rPr>
              <w:t>h⁻¹</w:t>
            </w:r>
          </w:p>
        </w:tc>
        <w:tc>
          <w:tcPr>
            <w:tcW w:type="dxa" w:w="1224"/>
            <w:vAlign w:val="top"/>
            <w:tcMar>
              <w:top w:w="80" w:type="dxa"/>
              <w:start w:w="80" w:type="dxa"/>
              <w:bottom w:w="80" w:type="dxa"/>
              <w:end w:w="80" w:type="dxa"/>
            </w:tcMar>
            <w:shd w:fill="F2F6FA"/>
          </w:tcPr>
          <w:p>
            <w:pPr>
              <w:spacing w:after="0"/>
            </w:pPr>
            <w:r>
              <w:rPr>
                <w:rFonts w:ascii="Arial" w:hAnsi="Arial"/>
                <w:sz w:val="15"/>
              </w:rPr>
              <w:t>21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Occupancy and gains</w:t>
            </w:r>
          </w:p>
        </w:tc>
        <w:tc>
          <w:tcPr>
            <w:tcW w:type="dxa" w:w="1800"/>
            <w:vAlign w:val="top"/>
            <w:tcMar>
              <w:top w:w="80" w:type="dxa"/>
              <w:start w:w="80" w:type="dxa"/>
              <w:bottom w:w="80" w:type="dxa"/>
              <w:end w:w="80" w:type="dxa"/>
            </w:tcMar>
          </w:tcPr>
          <w:p>
            <w:pPr>
              <w:spacing w:after="0"/>
            </w:pPr>
            <w:r>
              <w:rPr>
                <w:rFonts w:ascii="Cambria Math" w:hAnsi="Cambria Math"/>
                <w:sz w:val="15"/>
              </w:rPr>
              <w:t>oₜ</w:t>
            </w:r>
          </w:p>
        </w:tc>
        <w:tc>
          <w:tcPr>
            <w:tcW w:type="dxa" w:w="5616"/>
            <w:vAlign w:val="top"/>
            <w:tcMar>
              <w:top w:w="80" w:type="dxa"/>
              <w:start w:w="80" w:type="dxa"/>
              <w:bottom w:w="80" w:type="dxa"/>
              <w:end w:w="80" w:type="dxa"/>
            </w:tcMar>
          </w:tcPr>
          <w:p>
            <w:pPr>
              <w:spacing w:after="0"/>
            </w:pPr>
            <w:r>
              <w:rPr>
                <w:rFonts w:ascii="Arial" w:hAnsi="Arial"/>
                <w:sz w:val="15"/>
              </w:rPr>
              <w:t>Calendar- and hour-dependent occupancy fraction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 7–8, 27, 38, 40, 45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Occupancy and gains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Nₜ</w:t>
            </w:r>
          </w:p>
        </w:tc>
        <w:tc>
          <w:tcPr>
            <w:tcW w:type="dxa" w:w="5616"/>
            <w:vAlign w:val="top"/>
            <w:tcMar>
              <w:top w:w="80" w:type="dxa"/>
              <w:start w:w="80" w:type="dxa"/>
              <w:bottom w:w="80" w:type="dxa"/>
              <w:end w:w="80" w:type="dxa"/>
            </w:tcMar>
            <w:shd w:fill="F2F6FA"/>
          </w:tcPr>
          <w:p>
            <w:pPr>
              <w:spacing w:after="0"/>
            </w:pPr>
            <w:r>
              <w:rPr>
                <w:rFonts w:ascii="Arial" w:hAnsi="Arial"/>
                <w:sz w:val="15"/>
              </w:rPr>
              <w:t>Effective number of occupants at time step t</w:t>
            </w:r>
          </w:p>
        </w:tc>
        <w:tc>
          <w:tcPr>
            <w:tcW w:type="dxa" w:w="1728"/>
            <w:vAlign w:val="top"/>
            <w:tcMar>
              <w:top w:w="80" w:type="dxa"/>
              <w:start w:w="80" w:type="dxa"/>
              <w:bottom w:w="80" w:type="dxa"/>
              <w:end w:w="80" w:type="dxa"/>
            </w:tcMar>
            <w:shd w:fill="F2F6FA"/>
          </w:tcPr>
          <w:p>
            <w:pPr>
              <w:spacing w:after="0"/>
            </w:pPr>
            <w:r>
              <w:rPr>
                <w:rFonts w:ascii="Arial" w:hAnsi="Arial"/>
                <w:sz w:val="15"/>
              </w:rPr>
              <w:t>person</w:t>
            </w:r>
          </w:p>
        </w:tc>
        <w:tc>
          <w:tcPr>
            <w:tcW w:type="dxa" w:w="1224"/>
            <w:vAlign w:val="top"/>
            <w:tcMar>
              <w:top w:w="80" w:type="dxa"/>
              <w:start w:w="80" w:type="dxa"/>
              <w:bottom w:w="80" w:type="dxa"/>
              <w:end w:w="80" w:type="dxa"/>
            </w:tcMar>
            <w:shd w:fill="F2F6FA"/>
          </w:tcPr>
          <w:p>
            <w:pPr>
              <w:spacing w:after="0"/>
            </w:pPr>
            <w:r>
              <w:rPr>
                <w:rFonts w:ascii="Arial" w:hAnsi="Arial"/>
                <w:sz w:val="15"/>
              </w:rPr>
              <w:t>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Occupancy and gains</w:t>
            </w:r>
          </w:p>
        </w:tc>
        <w:tc>
          <w:tcPr>
            <w:tcW w:type="dxa" w:w="1800"/>
            <w:vAlign w:val="top"/>
            <w:tcMar>
              <w:top w:w="80" w:type="dxa"/>
              <w:start w:w="80" w:type="dxa"/>
              <w:bottom w:w="80" w:type="dxa"/>
              <w:end w:w="80" w:type="dxa"/>
            </w:tcMar>
          </w:tcPr>
          <w:p>
            <w:pPr>
              <w:spacing w:after="0"/>
            </w:pPr>
            <w:r>
              <w:rPr>
                <w:rFonts w:ascii="Cambria Math" w:hAnsi="Cambria Math"/>
                <w:sz w:val="15"/>
              </w:rPr>
              <w:t>PL</w:t>
            </w:r>
          </w:p>
        </w:tc>
        <w:tc>
          <w:tcPr>
            <w:tcW w:type="dxa" w:w="5616"/>
            <w:vAlign w:val="top"/>
            <w:tcMar>
              <w:top w:w="80" w:type="dxa"/>
              <w:start w:w="80" w:type="dxa"/>
              <w:bottom w:w="80" w:type="dxa"/>
              <w:end w:w="80" w:type="dxa"/>
            </w:tcMar>
          </w:tcPr>
          <w:p>
            <w:pPr>
              <w:spacing w:after="0"/>
            </w:pPr>
            <w:r>
              <w:rPr>
                <w:rFonts w:ascii="Arial" w:hAnsi="Arial"/>
                <w:sz w:val="15"/>
              </w:rPr>
              <w:t>Installed lighting electrical power</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6–7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Occupancy and gains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PE</w:t>
            </w:r>
          </w:p>
        </w:tc>
        <w:tc>
          <w:tcPr>
            <w:tcW w:type="dxa" w:w="5616"/>
            <w:vAlign w:val="top"/>
            <w:tcMar>
              <w:top w:w="80" w:type="dxa"/>
              <w:start w:w="80" w:type="dxa"/>
              <w:bottom w:w="80" w:type="dxa"/>
              <w:end w:w="80" w:type="dxa"/>
            </w:tcMar>
            <w:shd w:fill="F2F6FA"/>
          </w:tcPr>
          <w:p>
            <w:pPr>
              <w:spacing w:after="0"/>
            </w:pPr>
            <w:r>
              <w:rPr>
                <w:rFonts w:ascii="Arial" w:hAnsi="Arial"/>
                <w:sz w:val="15"/>
              </w:rPr>
              <w:t>Installed equipment electrical power</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6–7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Occupancy and gains</w:t>
            </w:r>
          </w:p>
        </w:tc>
        <w:tc>
          <w:tcPr>
            <w:tcW w:type="dxa" w:w="1800"/>
            <w:vAlign w:val="top"/>
            <w:tcMar>
              <w:top w:w="80" w:type="dxa"/>
              <w:start w:w="80" w:type="dxa"/>
              <w:bottom w:w="80" w:type="dxa"/>
              <w:end w:w="80" w:type="dxa"/>
            </w:tcMar>
          </w:tcPr>
          <w:p>
            <w:pPr>
              <w:spacing w:after="0"/>
            </w:pPr>
            <w:r>
              <w:rPr>
                <w:rFonts w:ascii="Cambria Math" w:hAnsi="Cambria Math"/>
                <w:sz w:val="15"/>
              </w:rPr>
              <w:t>pL,A</w:t>
            </w:r>
          </w:p>
        </w:tc>
        <w:tc>
          <w:tcPr>
            <w:tcW w:type="dxa" w:w="5616"/>
            <w:vAlign w:val="top"/>
            <w:tcMar>
              <w:top w:w="80" w:type="dxa"/>
              <w:start w:w="80" w:type="dxa"/>
              <w:bottom w:w="80" w:type="dxa"/>
              <w:end w:w="80" w:type="dxa"/>
            </w:tcMar>
          </w:tcPr>
          <w:p>
            <w:pPr>
              <w:spacing w:after="0"/>
            </w:pPr>
            <w:r>
              <w:rPr>
                <w:rFonts w:ascii="Arial" w:hAnsi="Arial"/>
                <w:sz w:val="15"/>
              </w:rPr>
              <w:t>Area-normalized lighting power density</w:t>
            </w:r>
          </w:p>
        </w:tc>
        <w:tc>
          <w:tcPr>
            <w:tcW w:type="dxa" w:w="1728"/>
            <w:vAlign w:val="top"/>
            <w:tcMar>
              <w:top w:w="80" w:type="dxa"/>
              <w:start w:w="80" w:type="dxa"/>
              <w:bottom w:w="80" w:type="dxa"/>
              <w:end w:w="80" w:type="dxa"/>
            </w:tcMar>
          </w:tcPr>
          <w:p>
            <w:pPr>
              <w:spacing w:after="0"/>
            </w:pPr>
            <w:r>
              <w:rPr>
                <w:rFonts w:ascii="Arial" w:hAnsi="Arial"/>
                <w:sz w:val="15"/>
              </w:rPr>
              <w:t>W m⁻²</w:t>
            </w:r>
          </w:p>
        </w:tc>
        <w:tc>
          <w:tcPr>
            <w:tcW w:type="dxa" w:w="1224"/>
            <w:vAlign w:val="top"/>
            <w:tcMar>
              <w:top w:w="80" w:type="dxa"/>
              <w:start w:w="80" w:type="dxa"/>
              <w:bottom w:w="80" w:type="dxa"/>
              <w:end w:w="80" w:type="dxa"/>
            </w:tcMar>
          </w:tcPr>
          <w:p>
            <w:pPr>
              <w:spacing w:after="0"/>
            </w:pPr>
            <w:r>
              <w:rPr>
                <w:rFonts w:ascii="Arial" w:hAnsi="Arial"/>
                <w:sz w:val="15"/>
              </w:rPr>
              <w:t>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Occupancy and gains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pE,A</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equipment power density</w:t>
            </w:r>
          </w:p>
        </w:tc>
        <w:tc>
          <w:tcPr>
            <w:tcW w:type="dxa" w:w="1728"/>
            <w:vAlign w:val="top"/>
            <w:tcMar>
              <w:top w:w="80" w:type="dxa"/>
              <w:start w:w="80" w:type="dxa"/>
              <w:bottom w:w="80" w:type="dxa"/>
              <w:end w:w="80" w:type="dxa"/>
            </w:tcMar>
            <w:shd w:fill="F2F6FA"/>
          </w:tcPr>
          <w:p>
            <w:pPr>
              <w:spacing w:after="0"/>
            </w:pPr>
            <w:r>
              <w:rPr>
                <w:rFonts w:ascii="Arial" w:hAnsi="Arial"/>
                <w:sz w:val="15"/>
              </w:rPr>
              <w:t>W m⁻²</w:t>
            </w:r>
          </w:p>
        </w:tc>
        <w:tc>
          <w:tcPr>
            <w:tcW w:type="dxa" w:w="1224"/>
            <w:vAlign w:val="top"/>
            <w:tcMar>
              <w:top w:w="80" w:type="dxa"/>
              <w:start w:w="80" w:type="dxa"/>
              <w:bottom w:w="80" w:type="dxa"/>
              <w:end w:w="80" w:type="dxa"/>
            </w:tcMar>
            <w:shd w:fill="F2F6FA"/>
          </w:tcPr>
          <w:p>
            <w:pPr>
              <w:spacing w:after="0"/>
            </w:pPr>
            <w:r>
              <w:rPr>
                <w:rFonts w:ascii="Arial" w:hAnsi="Arial"/>
                <w:sz w:val="15"/>
              </w:rPr>
              <w:t>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Occupancy and gains</w:t>
            </w:r>
          </w:p>
        </w:tc>
        <w:tc>
          <w:tcPr>
            <w:tcW w:type="dxa" w:w="1800"/>
            <w:vAlign w:val="top"/>
            <w:tcMar>
              <w:top w:w="80" w:type="dxa"/>
              <w:start w:w="80" w:type="dxa"/>
              <w:bottom w:w="80" w:type="dxa"/>
              <w:end w:w="80" w:type="dxa"/>
            </w:tcMar>
          </w:tcPr>
          <w:p>
            <w:pPr>
              <w:spacing w:after="0"/>
            </w:pPr>
            <w:r>
              <w:rPr>
                <w:rFonts w:ascii="Cambria Math" w:hAnsi="Cambria Math"/>
                <w:sz w:val="15"/>
              </w:rPr>
              <w:t>fuse</w:t>
            </w:r>
          </w:p>
        </w:tc>
        <w:tc>
          <w:tcPr>
            <w:tcW w:type="dxa" w:w="5616"/>
            <w:vAlign w:val="top"/>
            <w:tcMar>
              <w:top w:w="80" w:type="dxa"/>
              <w:start w:w="80" w:type="dxa"/>
              <w:bottom w:w="80" w:type="dxa"/>
              <w:end w:w="80" w:type="dxa"/>
            </w:tcMar>
          </w:tcPr>
          <w:p>
            <w:pPr>
              <w:spacing w:after="0"/>
            </w:pPr>
            <w:r>
              <w:rPr>
                <w:rFonts w:ascii="Arial" w:hAnsi="Arial"/>
                <w:sz w:val="15"/>
              </w:rPr>
              <w:t>Occupancy-dependent internal-gain use factor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Occupancy and gains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Qint,ₜ</w:t>
            </w:r>
          </w:p>
        </w:tc>
        <w:tc>
          <w:tcPr>
            <w:tcW w:type="dxa" w:w="5616"/>
            <w:vAlign w:val="top"/>
            <w:tcMar>
              <w:top w:w="80" w:type="dxa"/>
              <w:start w:w="80" w:type="dxa"/>
              <w:bottom w:w="80" w:type="dxa"/>
              <w:end w:w="80" w:type="dxa"/>
            </w:tcMar>
            <w:shd w:fill="F2F6FA"/>
          </w:tcPr>
          <w:p>
            <w:pPr>
              <w:spacing w:after="0"/>
            </w:pPr>
            <w:r>
              <w:rPr>
                <w:rFonts w:ascii="Arial" w:hAnsi="Arial"/>
                <w:sz w:val="15"/>
              </w:rPr>
              <w:t>Internal electrical sensible gain</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7, 15, 17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Occupancy and gains</w:t>
            </w:r>
          </w:p>
        </w:tc>
        <w:tc>
          <w:tcPr>
            <w:tcW w:type="dxa" w:w="1800"/>
            <w:vAlign w:val="top"/>
            <w:tcMar>
              <w:top w:w="80" w:type="dxa"/>
              <w:start w:w="80" w:type="dxa"/>
              <w:bottom w:w="80" w:type="dxa"/>
              <w:end w:w="80" w:type="dxa"/>
            </w:tcMar>
          </w:tcPr>
          <w:p>
            <w:pPr>
              <w:spacing w:after="0"/>
            </w:pPr>
            <w:r>
              <w:rPr>
                <w:rFonts w:ascii="Cambria Math" w:hAnsi="Cambria Math"/>
                <w:sz w:val="15"/>
              </w:rPr>
              <w:t>Qsens</w:t>
            </w:r>
          </w:p>
        </w:tc>
        <w:tc>
          <w:tcPr>
            <w:tcW w:type="dxa" w:w="5616"/>
            <w:vAlign w:val="top"/>
            <w:tcMar>
              <w:top w:w="80" w:type="dxa"/>
              <w:start w:w="80" w:type="dxa"/>
              <w:bottom w:w="80" w:type="dxa"/>
              <w:end w:w="80" w:type="dxa"/>
            </w:tcMar>
          </w:tcPr>
          <w:p>
            <w:pPr>
              <w:spacing w:after="0"/>
            </w:pPr>
            <w:r>
              <w:rPr>
                <w:rFonts w:ascii="Arial" w:hAnsi="Arial"/>
                <w:sz w:val="15"/>
              </w:rPr>
              <w:t>Sensible heat released per person</w:t>
            </w:r>
          </w:p>
        </w:tc>
        <w:tc>
          <w:tcPr>
            <w:tcW w:type="dxa" w:w="1728"/>
            <w:vAlign w:val="top"/>
            <w:tcMar>
              <w:top w:w="80" w:type="dxa"/>
              <w:start w:w="80" w:type="dxa"/>
              <w:bottom w:w="80" w:type="dxa"/>
              <w:end w:w="80" w:type="dxa"/>
            </w:tcMar>
          </w:tcPr>
          <w:p>
            <w:pPr>
              <w:spacing w:after="0"/>
            </w:pPr>
            <w:r>
              <w:rPr>
                <w:rFonts w:ascii="Arial" w:hAnsi="Arial"/>
                <w:sz w:val="15"/>
              </w:rPr>
              <w:t>W person⁻¹</w:t>
            </w:r>
          </w:p>
        </w:tc>
        <w:tc>
          <w:tcPr>
            <w:tcW w:type="dxa" w:w="1224"/>
            <w:vAlign w:val="top"/>
            <w:tcMar>
              <w:top w:w="80" w:type="dxa"/>
              <w:start w:w="80" w:type="dxa"/>
              <w:bottom w:w="80" w:type="dxa"/>
              <w:end w:w="80" w:type="dxa"/>
            </w:tcMar>
          </w:tcPr>
          <w:p>
            <w:pPr>
              <w:spacing w:after="0"/>
            </w:pPr>
            <w:r>
              <w:rPr>
                <w:rFonts w:ascii="Arial" w:hAnsi="Arial"/>
                <w:sz w:val="15"/>
              </w:rPr>
              <w:t>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Occupancy and gains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Qocc,ₜ</w:t>
            </w:r>
          </w:p>
        </w:tc>
        <w:tc>
          <w:tcPr>
            <w:tcW w:type="dxa" w:w="5616"/>
            <w:vAlign w:val="top"/>
            <w:tcMar>
              <w:top w:w="80" w:type="dxa"/>
              <w:start w:w="80" w:type="dxa"/>
              <w:bottom w:w="80" w:type="dxa"/>
              <w:end w:w="80" w:type="dxa"/>
            </w:tcMar>
            <w:shd w:fill="F2F6FA"/>
          </w:tcPr>
          <w:p>
            <w:pPr>
              <w:spacing w:after="0"/>
            </w:pPr>
            <w:r>
              <w:rPr>
                <w:rFonts w:ascii="Arial" w:hAnsi="Arial"/>
                <w:sz w:val="15"/>
              </w:rPr>
              <w:t>Sensible occupant heat gain</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8, 15, 17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Ta,ₜ</w:t>
            </w:r>
          </w:p>
        </w:tc>
        <w:tc>
          <w:tcPr>
            <w:tcW w:type="dxa" w:w="5616"/>
            <w:vAlign w:val="top"/>
            <w:tcMar>
              <w:top w:w="80" w:type="dxa"/>
              <w:start w:w="80" w:type="dxa"/>
              <w:bottom w:w="80" w:type="dxa"/>
              <w:end w:w="80" w:type="dxa"/>
            </w:tcMar>
          </w:tcPr>
          <w:p>
            <w:pPr>
              <w:spacing w:after="0"/>
            </w:pPr>
            <w:r>
              <w:rPr>
                <w:rFonts w:ascii="Arial" w:hAnsi="Arial"/>
                <w:sz w:val="15"/>
              </w:rPr>
              <w:t>Outdoor dry-bulb temperature</w:t>
            </w:r>
          </w:p>
        </w:tc>
        <w:tc>
          <w:tcPr>
            <w:tcW w:type="dxa" w:w="1728"/>
            <w:vAlign w:val="top"/>
            <w:tcMar>
              <w:top w:w="80" w:type="dxa"/>
              <w:start w:w="80" w:type="dxa"/>
              <w:bottom w:w="80" w:type="dxa"/>
              <w:end w:w="80" w:type="dxa"/>
            </w:tcMar>
          </w:tcPr>
          <w:p>
            <w:pPr>
              <w:spacing w:after="0"/>
            </w:pPr>
            <w:r>
              <w:rPr>
                <w:rFonts w:ascii="Arial" w:hAnsi="Arial"/>
                <w:sz w:val="15"/>
              </w:rPr>
              <w:t>°C</w:t>
            </w:r>
          </w:p>
        </w:tc>
        <w:tc>
          <w:tcPr>
            <w:tcW w:type="dxa" w:w="1224"/>
            <w:vAlign w:val="top"/>
            <w:tcMar>
              <w:top w:w="80" w:type="dxa"/>
              <w:start w:w="80" w:type="dxa"/>
              <w:bottom w:w="80" w:type="dxa"/>
              <w:end w:w="80" w:type="dxa"/>
            </w:tcMar>
          </w:tcPr>
          <w:p>
            <w:pPr>
              <w:spacing w:after="0"/>
            </w:pPr>
            <w:r>
              <w:rPr>
                <w:rFonts w:ascii="Arial" w:hAnsi="Arial"/>
                <w:sz w:val="15"/>
              </w:rPr>
              <w:t>9, 22, 34–35, 45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Tsp,ₜ</w:t>
            </w:r>
          </w:p>
        </w:tc>
        <w:tc>
          <w:tcPr>
            <w:tcW w:type="dxa" w:w="5616"/>
            <w:vAlign w:val="top"/>
            <w:tcMar>
              <w:top w:w="80" w:type="dxa"/>
              <w:start w:w="80" w:type="dxa"/>
              <w:bottom w:w="80" w:type="dxa"/>
              <w:end w:w="80" w:type="dxa"/>
            </w:tcMar>
            <w:shd w:fill="F2F6FA"/>
          </w:tcPr>
          <w:p>
            <w:pPr>
              <w:spacing w:after="0"/>
            </w:pPr>
            <w:r>
              <w:rPr>
                <w:rFonts w:ascii="Arial" w:hAnsi="Arial"/>
                <w:sz w:val="15"/>
              </w:rPr>
              <w:t>Controlled zone temperature setpoint</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9, 45, 48, 52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ΔTc,ₜ</w:t>
            </w:r>
          </w:p>
        </w:tc>
        <w:tc>
          <w:tcPr>
            <w:tcW w:type="dxa" w:w="5616"/>
            <w:vAlign w:val="top"/>
            <w:tcMar>
              <w:top w:w="80" w:type="dxa"/>
              <w:start w:w="80" w:type="dxa"/>
              <w:bottom w:w="80" w:type="dxa"/>
              <w:end w:w="80" w:type="dxa"/>
            </w:tcMar>
          </w:tcPr>
          <w:p>
            <w:pPr>
              <w:spacing w:after="0"/>
            </w:pPr>
            <w:r>
              <w:rPr>
                <w:rFonts w:ascii="Arial" w:hAnsi="Arial"/>
                <w:sz w:val="15"/>
              </w:rPr>
              <w:t>Positive cooling temperature difference</w:t>
            </w:r>
          </w:p>
        </w:tc>
        <w:tc>
          <w:tcPr>
            <w:tcW w:type="dxa" w:w="1728"/>
            <w:vAlign w:val="top"/>
            <w:tcMar>
              <w:top w:w="80" w:type="dxa"/>
              <w:start w:w="80" w:type="dxa"/>
              <w:bottom w:w="80" w:type="dxa"/>
              <w:end w:w="80" w:type="dxa"/>
            </w:tcMar>
          </w:tcPr>
          <w:p>
            <w:pPr>
              <w:spacing w:after="0"/>
            </w:pPr>
            <w:r>
              <w:rPr>
                <w:rFonts w:ascii="Arial" w:hAnsi="Arial"/>
                <w:sz w:val="15"/>
              </w:rPr>
              <w:t>K</w:t>
            </w:r>
          </w:p>
        </w:tc>
        <w:tc>
          <w:tcPr>
            <w:tcW w:type="dxa" w:w="1224"/>
            <w:vAlign w:val="top"/>
            <w:tcMar>
              <w:top w:w="80" w:type="dxa"/>
              <w:start w:w="80" w:type="dxa"/>
              <w:bottom w:w="80" w:type="dxa"/>
              <w:end w:w="80" w:type="dxa"/>
            </w:tcMar>
          </w:tcPr>
          <w:p>
            <w:pPr>
              <w:spacing w:after="0"/>
            </w:pPr>
            <w:r>
              <w:rPr>
                <w:rFonts w:ascii="Arial" w:hAnsi="Arial"/>
                <w:sz w:val="15"/>
              </w:rPr>
              <w:t>9, 12, 14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ΔTh,ₜ</w:t>
            </w:r>
          </w:p>
        </w:tc>
        <w:tc>
          <w:tcPr>
            <w:tcW w:type="dxa" w:w="5616"/>
            <w:vAlign w:val="top"/>
            <w:tcMar>
              <w:top w:w="80" w:type="dxa"/>
              <w:start w:w="80" w:type="dxa"/>
              <w:bottom w:w="80" w:type="dxa"/>
              <w:end w:w="80" w:type="dxa"/>
            </w:tcMar>
            <w:shd w:fill="F2F6FA"/>
          </w:tcPr>
          <w:p>
            <w:pPr>
              <w:spacing w:after="0"/>
            </w:pPr>
            <w:r>
              <w:rPr>
                <w:rFonts w:ascii="Arial" w:hAnsi="Arial"/>
                <w:sz w:val="15"/>
              </w:rPr>
              <w:t>Positive heating temperature difference</w:t>
            </w:r>
          </w:p>
        </w:tc>
        <w:tc>
          <w:tcPr>
            <w:tcW w:type="dxa" w:w="1728"/>
            <w:vAlign w:val="top"/>
            <w:tcMar>
              <w:top w:w="80" w:type="dxa"/>
              <w:start w:w="80" w:type="dxa"/>
              <w:bottom w:w="80" w:type="dxa"/>
              <w:end w:w="80" w:type="dxa"/>
            </w:tcMar>
            <w:shd w:fill="F2F6FA"/>
          </w:tcPr>
          <w:p>
            <w:pPr>
              <w:spacing w:after="0"/>
            </w:pPr>
            <w:r>
              <w:rPr>
                <w:rFonts w:ascii="Arial" w:hAnsi="Arial"/>
                <w:sz w:val="15"/>
              </w:rPr>
              <w:t>K</w:t>
            </w:r>
          </w:p>
        </w:tc>
        <w:tc>
          <w:tcPr>
            <w:tcW w:type="dxa" w:w="1224"/>
            <w:vAlign w:val="top"/>
            <w:tcMar>
              <w:top w:w="80" w:type="dxa"/>
              <w:start w:w="80" w:type="dxa"/>
              <w:bottom w:w="80" w:type="dxa"/>
              <w:end w:w="80" w:type="dxa"/>
            </w:tcMar>
            <w:shd w:fill="F2F6FA"/>
          </w:tcPr>
          <w:p>
            <w:pPr>
              <w:spacing w:after="0"/>
            </w:pPr>
            <w:r>
              <w:rPr>
                <w:rFonts w:ascii="Arial" w:hAnsi="Arial"/>
                <w:sz w:val="15"/>
              </w:rPr>
              <w:t>9, 16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GHIₜ</w:t>
            </w:r>
          </w:p>
        </w:tc>
        <w:tc>
          <w:tcPr>
            <w:tcW w:type="dxa" w:w="5616"/>
            <w:vAlign w:val="top"/>
            <w:tcMar>
              <w:top w:w="80" w:type="dxa"/>
              <w:start w:w="80" w:type="dxa"/>
              <w:bottom w:w="80" w:type="dxa"/>
              <w:end w:w="80" w:type="dxa"/>
            </w:tcMar>
          </w:tcPr>
          <w:p>
            <w:pPr>
              <w:spacing w:after="0"/>
            </w:pPr>
            <w:r>
              <w:rPr>
                <w:rFonts w:ascii="Arial" w:hAnsi="Arial"/>
                <w:sz w:val="15"/>
              </w:rPr>
              <w:t>Global horizontal solar irradiance</w:t>
            </w:r>
          </w:p>
        </w:tc>
        <w:tc>
          <w:tcPr>
            <w:tcW w:type="dxa" w:w="1728"/>
            <w:vAlign w:val="top"/>
            <w:tcMar>
              <w:top w:w="80" w:type="dxa"/>
              <w:start w:w="80" w:type="dxa"/>
              <w:bottom w:w="80" w:type="dxa"/>
              <w:end w:w="80" w:type="dxa"/>
            </w:tcMar>
          </w:tcPr>
          <w:p>
            <w:pPr>
              <w:spacing w:after="0"/>
            </w:pPr>
            <w:r>
              <w:rPr>
                <w:rFonts w:ascii="Arial" w:hAnsi="Arial"/>
                <w:sz w:val="15"/>
              </w:rPr>
              <w:t>W m⁻²</w:t>
            </w:r>
          </w:p>
        </w:tc>
        <w:tc>
          <w:tcPr>
            <w:tcW w:type="dxa" w:w="1224"/>
            <w:vAlign w:val="top"/>
            <w:tcMar>
              <w:top w:w="80" w:type="dxa"/>
              <w:start w:w="80" w:type="dxa"/>
              <w:bottom w:w="80" w:type="dxa"/>
              <w:end w:w="80" w:type="dxa"/>
            </w:tcMar>
          </w:tcPr>
          <w:p>
            <w:pPr>
              <w:spacing w:after="0"/>
            </w:pPr>
            <w:r>
              <w:rPr>
                <w:rFonts w:ascii="Arial" w:hAnsi="Arial"/>
                <w:sz w:val="15"/>
              </w:rPr>
              <w:t>10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RHₜ</w:t>
            </w:r>
          </w:p>
        </w:tc>
        <w:tc>
          <w:tcPr>
            <w:tcW w:type="dxa" w:w="5616"/>
            <w:vAlign w:val="top"/>
            <w:tcMar>
              <w:top w:w="80" w:type="dxa"/>
              <w:start w:w="80" w:type="dxa"/>
              <w:bottom w:w="80" w:type="dxa"/>
              <w:end w:w="80" w:type="dxa"/>
            </w:tcMar>
            <w:shd w:fill="F2F6FA"/>
          </w:tcPr>
          <w:p>
            <w:pPr>
              <w:spacing w:after="0"/>
            </w:pPr>
            <w:r>
              <w:rPr>
                <w:rFonts w:ascii="Arial" w:hAnsi="Arial"/>
                <w:sz w:val="15"/>
              </w:rPr>
              <w:t>Outdoor relative humidity</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10, 45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γGHI,ₜ</w:t>
            </w:r>
          </w:p>
        </w:tc>
        <w:tc>
          <w:tcPr>
            <w:tcW w:type="dxa" w:w="5616"/>
            <w:vAlign w:val="top"/>
            <w:tcMar>
              <w:top w:w="80" w:type="dxa"/>
              <w:start w:w="80" w:type="dxa"/>
              <w:bottom w:w="80" w:type="dxa"/>
              <w:end w:w="80" w:type="dxa"/>
            </w:tcMar>
          </w:tcPr>
          <w:p>
            <w:pPr>
              <w:spacing w:after="0"/>
            </w:pPr>
            <w:r>
              <w:rPr>
                <w:rFonts w:ascii="Arial" w:hAnsi="Arial"/>
                <w:sz w:val="15"/>
              </w:rPr>
              <w:t>Normalized solar-irradiance modifier; recommended notation replacing the duplicated symbol gₜ</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10, 13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μRH,ₜ</w:t>
            </w:r>
          </w:p>
        </w:tc>
        <w:tc>
          <w:tcPr>
            <w:tcW w:type="dxa" w:w="5616"/>
            <w:vAlign w:val="top"/>
            <w:tcMar>
              <w:top w:w="80" w:type="dxa"/>
              <w:start w:w="80" w:type="dxa"/>
              <w:bottom w:w="80" w:type="dxa"/>
              <w:end w:w="80" w:type="dxa"/>
            </w:tcMar>
            <w:shd w:fill="F2F6FA"/>
          </w:tcPr>
          <w:p>
            <w:pPr>
              <w:spacing w:after="0"/>
            </w:pPr>
            <w:r>
              <w:rPr>
                <w:rFonts w:ascii="Arial" w:hAnsi="Arial"/>
                <w:sz w:val="15"/>
              </w:rPr>
              <w:t>Humidity multiplier applied to the static cooling load</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10, 15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kRH</w:t>
            </w:r>
          </w:p>
        </w:tc>
        <w:tc>
          <w:tcPr>
            <w:tcW w:type="dxa" w:w="5616"/>
            <w:vAlign w:val="top"/>
            <w:tcMar>
              <w:top w:w="80" w:type="dxa"/>
              <w:start w:w="80" w:type="dxa"/>
              <w:bottom w:w="80" w:type="dxa"/>
              <w:end w:w="80" w:type="dxa"/>
            </w:tcMar>
          </w:tcPr>
          <w:p>
            <w:pPr>
              <w:spacing w:after="0"/>
            </w:pPr>
            <w:r>
              <w:rPr>
                <w:rFonts w:ascii="Arial" w:hAnsi="Arial"/>
                <w:sz w:val="15"/>
              </w:rPr>
              <w:t>Cooling-load humidity multiplier coefficient</w:t>
            </w:r>
          </w:p>
        </w:tc>
        <w:tc>
          <w:tcPr>
            <w:tcW w:type="dxa" w:w="1728"/>
            <w:vAlign w:val="top"/>
            <w:tcMar>
              <w:top w:w="80" w:type="dxa"/>
              <w:start w:w="80" w:type="dxa"/>
              <w:bottom w:w="80" w:type="dxa"/>
              <w:end w:w="80" w:type="dxa"/>
            </w:tcMar>
          </w:tcPr>
          <w:p>
            <w:pPr>
              <w:spacing w:after="0"/>
            </w:pPr>
            <w:r>
              <w:rPr>
                <w:rFonts w:ascii="Arial" w:hAnsi="Arial"/>
                <w:sz w:val="15"/>
              </w:rPr>
              <w:t>%⁻¹</w:t>
            </w:r>
          </w:p>
        </w:tc>
        <w:tc>
          <w:tcPr>
            <w:tcW w:type="dxa" w:w="1224"/>
            <w:vAlign w:val="top"/>
            <w:tcMar>
              <w:top w:w="80" w:type="dxa"/>
              <w:start w:w="80" w:type="dxa"/>
              <w:bottom w:w="80" w:type="dxa"/>
              <w:end w:w="80" w:type="dxa"/>
            </w:tcMar>
          </w:tcPr>
          <w:p>
            <w:pPr>
              <w:spacing w:after="0"/>
            </w:pPr>
            <w:r>
              <w:rPr>
                <w:rFonts w:ascii="Arial" w:hAnsi="Arial"/>
                <w:sz w:val="15"/>
              </w:rPr>
              <w:t>10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nd,ₜ</w:t>
            </w:r>
          </w:p>
        </w:tc>
        <w:tc>
          <w:tcPr>
            <w:tcW w:type="dxa" w:w="5616"/>
            <w:vAlign w:val="top"/>
            <w:tcMar>
              <w:top w:w="80" w:type="dxa"/>
              <w:start w:w="80" w:type="dxa"/>
              <w:bottom w:w="80" w:type="dxa"/>
              <w:end w:w="80" w:type="dxa"/>
            </w:tcMar>
            <w:shd w:fill="F2F6FA"/>
          </w:tcPr>
          <w:p>
            <w:pPr>
              <w:spacing w:after="0"/>
            </w:pPr>
            <w:r>
              <w:rPr>
                <w:rFonts w:ascii="Arial" w:hAnsi="Arial"/>
                <w:sz w:val="15"/>
              </w:rPr>
              <w:t>Day-of-year index; recommended notation replacing dₜ to avoid collision with the normalized degradation objective</w:t>
            </w:r>
          </w:p>
        </w:tc>
        <w:tc>
          <w:tcPr>
            <w:tcW w:type="dxa" w:w="1728"/>
            <w:vAlign w:val="top"/>
            <w:tcMar>
              <w:top w:w="80" w:type="dxa"/>
              <w:start w:w="80" w:type="dxa"/>
              <w:bottom w:w="80" w:type="dxa"/>
              <w:end w:w="80" w:type="dxa"/>
            </w:tcMar>
            <w:shd w:fill="F2F6FA"/>
          </w:tcPr>
          <w:p>
            <w:pPr>
              <w:spacing w:after="0"/>
            </w:pPr>
            <w:r>
              <w:rPr>
                <w:rFonts w:ascii="Arial" w:hAnsi="Arial"/>
                <w:sz w:val="15"/>
              </w:rPr>
              <w:t>day</w:t>
            </w:r>
          </w:p>
        </w:tc>
        <w:tc>
          <w:tcPr>
            <w:tcW w:type="dxa" w:w="1224"/>
            <w:vAlign w:val="top"/>
            <w:tcMar>
              <w:top w:w="80" w:type="dxa"/>
              <w:start w:w="80" w:type="dxa"/>
              <w:bottom w:w="80" w:type="dxa"/>
              <w:end w:w="80" w:type="dxa"/>
            </w:tcMar>
            <w:shd w:fill="F2F6FA"/>
          </w:tcPr>
          <w:p>
            <w:pPr>
              <w:spacing w:after="0"/>
            </w:pPr>
            <w:r>
              <w:rPr>
                <w:rFonts w:ascii="Arial" w:hAnsi="Arial"/>
                <w:sz w:val="15"/>
              </w:rPr>
              <w:t>11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sₜ</w:t>
            </w:r>
          </w:p>
        </w:tc>
        <w:tc>
          <w:tcPr>
            <w:tcW w:type="dxa" w:w="5616"/>
            <w:vAlign w:val="top"/>
            <w:tcMar>
              <w:top w:w="80" w:type="dxa"/>
              <w:start w:w="80" w:type="dxa"/>
              <w:bottom w:w="80" w:type="dxa"/>
              <w:end w:w="80" w:type="dxa"/>
            </w:tcMar>
          </w:tcPr>
          <w:p>
            <w:pPr>
              <w:spacing w:after="0"/>
            </w:pPr>
            <w:r>
              <w:rPr>
                <w:rFonts w:ascii="Arial" w:hAnsi="Arial"/>
                <w:sz w:val="15"/>
              </w:rPr>
              <w:t>Daily solar-season modifier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11, 13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χenv, χsol, χinf</w:t>
            </w:r>
          </w:p>
        </w:tc>
        <w:tc>
          <w:tcPr>
            <w:tcW w:type="dxa" w:w="5616"/>
            <w:vAlign w:val="top"/>
            <w:tcMar>
              <w:top w:w="80" w:type="dxa"/>
              <w:start w:w="80" w:type="dxa"/>
              <w:bottom w:w="80" w:type="dxa"/>
              <w:end w:w="80" w:type="dxa"/>
            </w:tcMar>
            <w:shd w:fill="F2F6FA"/>
          </w:tcPr>
          <w:p>
            <w:pPr>
              <w:spacing w:after="0"/>
            </w:pPr>
            <w:r>
              <w:rPr>
                <w:rFonts w:ascii="Arial" w:hAnsi="Arial"/>
                <w:sz w:val="15"/>
              </w:rPr>
              <w:t>Binary activation switches for envelope, solar, and infiltration terms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12–16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ac, ah</w:t>
            </w:r>
          </w:p>
        </w:tc>
        <w:tc>
          <w:tcPr>
            <w:tcW w:type="dxa" w:w="5616"/>
            <w:vAlign w:val="top"/>
            <w:tcMar>
              <w:top w:w="80" w:type="dxa"/>
              <w:start w:w="80" w:type="dxa"/>
              <w:bottom w:w="80" w:type="dxa"/>
              <w:end w:w="80" w:type="dxa"/>
            </w:tcMar>
          </w:tcPr>
          <w:p>
            <w:pPr>
              <w:spacing w:after="0"/>
            </w:pPr>
            <w:r>
              <w:rPr>
                <w:rFonts w:ascii="Arial" w:hAnsi="Arial"/>
                <w:sz w:val="15"/>
              </w:rPr>
              <w:t>Reduced-order envelope cooling and heating coefficients</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12, 16, 20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ΔTc,ref</w:t>
            </w:r>
          </w:p>
        </w:tc>
        <w:tc>
          <w:tcPr>
            <w:tcW w:type="dxa" w:w="5616"/>
            <w:vAlign w:val="top"/>
            <w:tcMar>
              <w:top w:w="80" w:type="dxa"/>
              <w:start w:w="80" w:type="dxa"/>
              <w:bottom w:w="80" w:type="dxa"/>
              <w:end w:w="80" w:type="dxa"/>
            </w:tcMar>
            <w:shd w:fill="F2F6FA"/>
          </w:tcPr>
          <w:p>
            <w:pPr>
              <w:spacing w:after="0"/>
            </w:pPr>
            <w:r>
              <w:rPr>
                <w:rFonts w:ascii="Arial" w:hAnsi="Arial"/>
                <w:sz w:val="15"/>
              </w:rPr>
              <w:t>Reference cooling temperature difference</w:t>
            </w:r>
          </w:p>
        </w:tc>
        <w:tc>
          <w:tcPr>
            <w:tcW w:type="dxa" w:w="1728"/>
            <w:vAlign w:val="top"/>
            <w:tcMar>
              <w:top w:w="80" w:type="dxa"/>
              <w:start w:w="80" w:type="dxa"/>
              <w:bottom w:w="80" w:type="dxa"/>
              <w:end w:w="80" w:type="dxa"/>
            </w:tcMar>
            <w:shd w:fill="F2F6FA"/>
          </w:tcPr>
          <w:p>
            <w:pPr>
              <w:spacing w:after="0"/>
            </w:pPr>
            <w:r>
              <w:rPr>
                <w:rFonts w:ascii="Arial" w:hAnsi="Arial"/>
                <w:sz w:val="15"/>
              </w:rPr>
              <w:t>K</w:t>
            </w:r>
          </w:p>
        </w:tc>
        <w:tc>
          <w:tcPr>
            <w:tcW w:type="dxa" w:w="1224"/>
            <w:vAlign w:val="top"/>
            <w:tcMar>
              <w:top w:w="80" w:type="dxa"/>
              <w:start w:w="80" w:type="dxa"/>
              <w:bottom w:w="80" w:type="dxa"/>
              <w:end w:w="80" w:type="dxa"/>
            </w:tcMar>
            <w:shd w:fill="F2F6FA"/>
          </w:tcPr>
          <w:p>
            <w:pPr>
              <w:spacing w:after="0"/>
            </w:pPr>
            <w:r>
              <w:rPr>
                <w:rFonts w:ascii="Arial" w:hAnsi="Arial"/>
                <w:sz w:val="15"/>
              </w:rPr>
              <w:t>12, 14, 20</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ΔTh,ref</w:t>
            </w:r>
          </w:p>
        </w:tc>
        <w:tc>
          <w:tcPr>
            <w:tcW w:type="dxa" w:w="5616"/>
            <w:vAlign w:val="top"/>
            <w:tcMar>
              <w:top w:w="80" w:type="dxa"/>
              <w:start w:w="80" w:type="dxa"/>
              <w:bottom w:w="80" w:type="dxa"/>
              <w:end w:w="80" w:type="dxa"/>
            </w:tcMar>
          </w:tcPr>
          <w:p>
            <w:pPr>
              <w:spacing w:after="0"/>
            </w:pPr>
            <w:r>
              <w:rPr>
                <w:rFonts w:ascii="Arial" w:hAnsi="Arial"/>
                <w:sz w:val="15"/>
              </w:rPr>
              <w:t>Reference heating temperature difference</w:t>
            </w:r>
          </w:p>
        </w:tc>
        <w:tc>
          <w:tcPr>
            <w:tcW w:type="dxa" w:w="1728"/>
            <w:vAlign w:val="top"/>
            <w:tcMar>
              <w:top w:w="80" w:type="dxa"/>
              <w:start w:w="80" w:type="dxa"/>
              <w:bottom w:w="80" w:type="dxa"/>
              <w:end w:w="80" w:type="dxa"/>
            </w:tcMar>
          </w:tcPr>
          <w:p>
            <w:pPr>
              <w:spacing w:after="0"/>
            </w:pPr>
            <w:r>
              <w:rPr>
                <w:rFonts w:ascii="Arial" w:hAnsi="Arial"/>
                <w:sz w:val="15"/>
              </w:rPr>
              <w:t>K</w:t>
            </w:r>
          </w:p>
        </w:tc>
        <w:tc>
          <w:tcPr>
            <w:tcW w:type="dxa" w:w="1224"/>
            <w:vAlign w:val="top"/>
            <w:tcMar>
              <w:top w:w="80" w:type="dxa"/>
              <w:start w:w="80" w:type="dxa"/>
              <w:bottom w:w="80" w:type="dxa"/>
              <w:end w:w="80" w:type="dxa"/>
            </w:tcMar>
          </w:tcPr>
          <w:p>
            <w:pPr>
              <w:spacing w:after="0"/>
            </w:pPr>
            <w:r>
              <w:rPr>
                <w:rFonts w:ascii="Arial" w:hAnsi="Arial"/>
                <w:sz w:val="15"/>
              </w:rPr>
              <w:t>16, 20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fsol</w:t>
            </w:r>
          </w:p>
        </w:tc>
        <w:tc>
          <w:tcPr>
            <w:tcW w:type="dxa" w:w="5616"/>
            <w:vAlign w:val="top"/>
            <w:tcMar>
              <w:top w:w="80" w:type="dxa"/>
              <w:start w:w="80" w:type="dxa"/>
              <w:bottom w:w="80" w:type="dxa"/>
              <w:end w:w="80" w:type="dxa"/>
            </w:tcMar>
            <w:shd w:fill="F2F6FA"/>
          </w:tcPr>
          <w:p>
            <w:pPr>
              <w:spacing w:after="0"/>
            </w:pPr>
            <w:r>
              <w:rPr>
                <w:rFonts w:ascii="Arial" w:hAnsi="Arial"/>
                <w:sz w:val="15"/>
              </w:rPr>
              <w:t>Solar cooling-load coefficient</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13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finf,c, finf,h</w:t>
            </w:r>
          </w:p>
        </w:tc>
        <w:tc>
          <w:tcPr>
            <w:tcW w:type="dxa" w:w="5616"/>
            <w:vAlign w:val="top"/>
            <w:tcMar>
              <w:top w:w="80" w:type="dxa"/>
              <w:start w:w="80" w:type="dxa"/>
              <w:bottom w:w="80" w:type="dxa"/>
              <w:end w:w="80" w:type="dxa"/>
            </w:tcMar>
          </w:tcPr>
          <w:p>
            <w:pPr>
              <w:spacing w:after="0"/>
            </w:pPr>
            <w:r>
              <w:rPr>
                <w:rFonts w:ascii="Arial" w:hAnsi="Arial"/>
                <w:sz w:val="15"/>
              </w:rPr>
              <w:t>Cooling and heating infiltration coefficients</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14, 16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Qc,env,ₜ</w:t>
            </w:r>
          </w:p>
        </w:tc>
        <w:tc>
          <w:tcPr>
            <w:tcW w:type="dxa" w:w="5616"/>
            <w:vAlign w:val="top"/>
            <w:tcMar>
              <w:top w:w="80" w:type="dxa"/>
              <w:start w:w="80" w:type="dxa"/>
              <w:bottom w:w="80" w:type="dxa"/>
              <w:end w:w="80" w:type="dxa"/>
            </w:tcMar>
            <w:shd w:fill="F2F6FA"/>
          </w:tcPr>
          <w:p>
            <w:pPr>
              <w:spacing w:after="0"/>
            </w:pPr>
            <w:r>
              <w:rPr>
                <w:rFonts w:ascii="Arial" w:hAnsi="Arial"/>
                <w:sz w:val="15"/>
              </w:rPr>
              <w:t>Envelope component of static cooling load</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12, 15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Qc,sol,ₜ</w:t>
            </w:r>
          </w:p>
        </w:tc>
        <w:tc>
          <w:tcPr>
            <w:tcW w:type="dxa" w:w="5616"/>
            <w:vAlign w:val="top"/>
            <w:tcMar>
              <w:top w:w="80" w:type="dxa"/>
              <w:start w:w="80" w:type="dxa"/>
              <w:bottom w:w="80" w:type="dxa"/>
              <w:end w:w="80" w:type="dxa"/>
            </w:tcMar>
          </w:tcPr>
          <w:p>
            <w:pPr>
              <w:spacing w:after="0"/>
            </w:pPr>
            <w:r>
              <w:rPr>
                <w:rFonts w:ascii="Arial" w:hAnsi="Arial"/>
                <w:sz w:val="15"/>
              </w:rPr>
              <w:t>Solar component of static cooling load</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13, 15, 22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Qc,inf,ₜ</w:t>
            </w:r>
          </w:p>
        </w:tc>
        <w:tc>
          <w:tcPr>
            <w:tcW w:type="dxa" w:w="5616"/>
            <w:vAlign w:val="top"/>
            <w:tcMar>
              <w:top w:w="80" w:type="dxa"/>
              <w:start w:w="80" w:type="dxa"/>
              <w:bottom w:w="80" w:type="dxa"/>
              <w:end w:w="80" w:type="dxa"/>
            </w:tcMar>
            <w:shd w:fill="F2F6FA"/>
          </w:tcPr>
          <w:p>
            <w:pPr>
              <w:spacing w:after="0"/>
            </w:pPr>
            <w:r>
              <w:rPr>
                <w:rFonts w:ascii="Arial" w:hAnsi="Arial"/>
                <w:sz w:val="15"/>
              </w:rPr>
              <w:t>Infiltration component of static cooling load</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14–15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Qlat,ₜ</w:t>
            </w:r>
          </w:p>
        </w:tc>
        <w:tc>
          <w:tcPr>
            <w:tcW w:type="dxa" w:w="5616"/>
            <w:vAlign w:val="top"/>
            <w:tcMar>
              <w:top w:w="80" w:type="dxa"/>
              <w:start w:w="80" w:type="dxa"/>
              <w:bottom w:w="80" w:type="dxa"/>
              <w:end w:w="80" w:type="dxa"/>
            </w:tcMar>
          </w:tcPr>
          <w:p>
            <w:pPr>
              <w:spacing w:after="0"/>
            </w:pPr>
            <w:r>
              <w:rPr>
                <w:rFonts w:ascii="Arial" w:hAnsi="Arial"/>
                <w:sz w:val="15"/>
              </w:rPr>
              <w:t>Latent cooling load; zero when latent coupling is disabled</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15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Qc,stat,ₜ</w:t>
            </w:r>
          </w:p>
        </w:tc>
        <w:tc>
          <w:tcPr>
            <w:tcW w:type="dxa" w:w="5616"/>
            <w:vAlign w:val="top"/>
            <w:tcMar>
              <w:top w:w="80" w:type="dxa"/>
              <w:start w:w="80" w:type="dxa"/>
              <w:bottom w:w="80" w:type="dxa"/>
              <w:end w:w="80" w:type="dxa"/>
            </w:tcMar>
            <w:shd w:fill="F2F6FA"/>
          </w:tcPr>
          <w:p>
            <w:pPr>
              <w:spacing w:after="0"/>
            </w:pPr>
            <w:r>
              <w:rPr>
                <w:rFonts w:ascii="Arial" w:hAnsi="Arial"/>
                <w:sz w:val="15"/>
              </w:rPr>
              <w:t>Total static cooling load before dynamic RC blending</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15, 25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Qh,env,ₜ</w:t>
            </w:r>
          </w:p>
        </w:tc>
        <w:tc>
          <w:tcPr>
            <w:tcW w:type="dxa" w:w="5616"/>
            <w:vAlign w:val="top"/>
            <w:tcMar>
              <w:top w:w="80" w:type="dxa"/>
              <w:start w:w="80" w:type="dxa"/>
              <w:bottom w:w="80" w:type="dxa"/>
              <w:end w:w="80" w:type="dxa"/>
            </w:tcMar>
          </w:tcPr>
          <w:p>
            <w:pPr>
              <w:spacing w:after="0"/>
            </w:pPr>
            <w:r>
              <w:rPr>
                <w:rFonts w:ascii="Arial" w:hAnsi="Arial"/>
                <w:sz w:val="15"/>
              </w:rPr>
              <w:t>Envelope component of static heating load</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16, 18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Qh,inf,ₜ</w:t>
            </w:r>
          </w:p>
        </w:tc>
        <w:tc>
          <w:tcPr>
            <w:tcW w:type="dxa" w:w="5616"/>
            <w:vAlign w:val="top"/>
            <w:tcMar>
              <w:top w:w="80" w:type="dxa"/>
              <w:start w:w="80" w:type="dxa"/>
              <w:bottom w:w="80" w:type="dxa"/>
              <w:end w:w="80" w:type="dxa"/>
            </w:tcMar>
            <w:shd w:fill="F2F6FA"/>
          </w:tcPr>
          <w:p>
            <w:pPr>
              <w:spacing w:after="0"/>
            </w:pPr>
            <w:r>
              <w:rPr>
                <w:rFonts w:ascii="Arial" w:hAnsi="Arial"/>
                <w:sz w:val="15"/>
              </w:rPr>
              <w:t>Infiltration component of static heating load</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16, 18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fcredit</w:t>
            </w:r>
          </w:p>
        </w:tc>
        <w:tc>
          <w:tcPr>
            <w:tcW w:type="dxa" w:w="5616"/>
            <w:vAlign w:val="top"/>
            <w:tcMar>
              <w:top w:w="80" w:type="dxa"/>
              <w:start w:w="80" w:type="dxa"/>
              <w:bottom w:w="80" w:type="dxa"/>
              <w:end w:w="80" w:type="dxa"/>
            </w:tcMar>
          </w:tcPr>
          <w:p>
            <w:pPr>
              <w:spacing w:after="0"/>
            </w:pPr>
            <w:r>
              <w:rPr>
                <w:rFonts w:ascii="Arial" w:hAnsi="Arial"/>
                <w:sz w:val="15"/>
              </w:rPr>
              <w:t>Fraction of internal gains credited against heating demand</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17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Weather and static loads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Qcredit,ₜ</w:t>
            </w:r>
          </w:p>
        </w:tc>
        <w:tc>
          <w:tcPr>
            <w:tcW w:type="dxa" w:w="5616"/>
            <w:vAlign w:val="top"/>
            <w:tcMar>
              <w:top w:w="80" w:type="dxa"/>
              <w:start w:w="80" w:type="dxa"/>
              <w:bottom w:w="80" w:type="dxa"/>
              <w:end w:w="80" w:type="dxa"/>
            </w:tcMar>
            <w:shd w:fill="F2F6FA"/>
          </w:tcPr>
          <w:p>
            <w:pPr>
              <w:spacing w:after="0"/>
            </w:pPr>
            <w:r>
              <w:rPr>
                <w:rFonts w:ascii="Arial" w:hAnsi="Arial"/>
                <w:sz w:val="15"/>
              </w:rPr>
              <w:t>Internal-gain heating credit</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17–18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Weather and static loads</w:t>
            </w:r>
          </w:p>
        </w:tc>
        <w:tc>
          <w:tcPr>
            <w:tcW w:type="dxa" w:w="1800"/>
            <w:vAlign w:val="top"/>
            <w:tcMar>
              <w:top w:w="80" w:type="dxa"/>
              <w:start w:w="80" w:type="dxa"/>
              <w:bottom w:w="80" w:type="dxa"/>
              <w:end w:w="80" w:type="dxa"/>
            </w:tcMar>
          </w:tcPr>
          <w:p>
            <w:pPr>
              <w:spacing w:after="0"/>
            </w:pPr>
            <w:r>
              <w:rPr>
                <w:rFonts w:ascii="Cambria Math" w:hAnsi="Cambria Math"/>
                <w:sz w:val="15"/>
              </w:rPr>
              <w:t>Qh,stat,ₜ</w:t>
            </w:r>
          </w:p>
        </w:tc>
        <w:tc>
          <w:tcPr>
            <w:tcW w:type="dxa" w:w="5616"/>
            <w:vAlign w:val="top"/>
            <w:tcMar>
              <w:top w:w="80" w:type="dxa"/>
              <w:start w:w="80" w:type="dxa"/>
              <w:bottom w:w="80" w:type="dxa"/>
              <w:end w:w="80" w:type="dxa"/>
            </w:tcMar>
          </w:tcPr>
          <w:p>
            <w:pPr>
              <w:spacing w:after="0"/>
            </w:pPr>
            <w:r>
              <w:rPr>
                <w:rFonts w:ascii="Arial" w:hAnsi="Arial"/>
                <w:sz w:val="15"/>
              </w:rPr>
              <w:t>Static heating demand before dynamic RC blending</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18, 25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Cz</w:t>
            </w:r>
          </w:p>
        </w:tc>
        <w:tc>
          <w:tcPr>
            <w:tcW w:type="dxa" w:w="5616"/>
            <w:vAlign w:val="top"/>
            <w:tcMar>
              <w:top w:w="80" w:type="dxa"/>
              <w:start w:w="80" w:type="dxa"/>
              <w:bottom w:w="80" w:type="dxa"/>
              <w:end w:w="80" w:type="dxa"/>
            </w:tcMar>
            <w:shd w:fill="F2F6FA"/>
          </w:tcPr>
          <w:p>
            <w:pPr>
              <w:spacing w:after="0"/>
            </w:pPr>
            <w:r>
              <w:rPr>
                <w:rFonts w:ascii="Arial" w:hAnsi="Arial"/>
                <w:sz w:val="15"/>
              </w:rPr>
              <w:t>Equivalent zone-air thermal capacitance</w:t>
            </w:r>
          </w:p>
        </w:tc>
        <w:tc>
          <w:tcPr>
            <w:tcW w:type="dxa" w:w="1728"/>
            <w:vAlign w:val="top"/>
            <w:tcMar>
              <w:top w:w="80" w:type="dxa"/>
              <w:start w:w="80" w:type="dxa"/>
              <w:bottom w:w="80" w:type="dxa"/>
              <w:end w:w="80" w:type="dxa"/>
            </w:tcMar>
            <w:shd w:fill="F2F6FA"/>
          </w:tcPr>
          <w:p>
            <w:pPr>
              <w:spacing w:after="0"/>
            </w:pPr>
            <w:r>
              <w:rPr>
                <w:rFonts w:ascii="Arial" w:hAnsi="Arial"/>
                <w:sz w:val="15"/>
              </w:rPr>
              <w:t>kWh K⁻¹</w:t>
            </w:r>
          </w:p>
        </w:tc>
        <w:tc>
          <w:tcPr>
            <w:tcW w:type="dxa" w:w="1224"/>
            <w:vAlign w:val="top"/>
            <w:tcMar>
              <w:top w:w="80" w:type="dxa"/>
              <w:start w:w="80" w:type="dxa"/>
              <w:bottom w:w="80" w:type="dxa"/>
              <w:end w:w="80" w:type="dxa"/>
            </w:tcMar>
            <w:shd w:fill="F2F6FA"/>
          </w:tcPr>
          <w:p>
            <w:pPr>
              <w:spacing w:after="0"/>
            </w:pPr>
            <w:r>
              <w:rPr>
                <w:rFonts w:ascii="Arial" w:hAnsi="Arial"/>
                <w:sz w:val="15"/>
              </w:rPr>
              <w:t>19, 22–24</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Cm</w:t>
            </w:r>
          </w:p>
        </w:tc>
        <w:tc>
          <w:tcPr>
            <w:tcW w:type="dxa" w:w="5616"/>
            <w:vAlign w:val="top"/>
            <w:tcMar>
              <w:top w:w="80" w:type="dxa"/>
              <w:start w:w="80" w:type="dxa"/>
              <w:bottom w:w="80" w:type="dxa"/>
              <w:end w:w="80" w:type="dxa"/>
            </w:tcMar>
          </w:tcPr>
          <w:p>
            <w:pPr>
              <w:spacing w:after="0"/>
            </w:pPr>
            <w:r>
              <w:rPr>
                <w:rFonts w:ascii="Arial" w:hAnsi="Arial"/>
                <w:sz w:val="15"/>
              </w:rPr>
              <w:t>Equivalent building-mass thermal capacitance</w:t>
            </w:r>
          </w:p>
        </w:tc>
        <w:tc>
          <w:tcPr>
            <w:tcW w:type="dxa" w:w="1728"/>
            <w:vAlign w:val="top"/>
            <w:tcMar>
              <w:top w:w="80" w:type="dxa"/>
              <w:start w:w="80" w:type="dxa"/>
              <w:bottom w:w="80" w:type="dxa"/>
              <w:end w:w="80" w:type="dxa"/>
            </w:tcMar>
          </w:tcPr>
          <w:p>
            <w:pPr>
              <w:spacing w:after="0"/>
            </w:pPr>
            <w:r>
              <w:rPr>
                <w:rFonts w:ascii="Arial" w:hAnsi="Arial"/>
                <w:sz w:val="15"/>
              </w:rPr>
              <w:t>kWh K⁻¹</w:t>
            </w:r>
          </w:p>
        </w:tc>
        <w:tc>
          <w:tcPr>
            <w:tcW w:type="dxa" w:w="1224"/>
            <w:vAlign w:val="top"/>
            <w:tcMar>
              <w:top w:w="80" w:type="dxa"/>
              <w:start w:w="80" w:type="dxa"/>
              <w:bottom w:w="80" w:type="dxa"/>
              <w:end w:w="80" w:type="dxa"/>
            </w:tcMar>
          </w:tcPr>
          <w:p>
            <w:pPr>
              <w:spacing w:after="0"/>
            </w:pPr>
            <w:r>
              <w:rPr>
                <w:rFonts w:ascii="Arial" w:hAnsi="Arial"/>
                <w:sz w:val="15"/>
              </w:rPr>
              <w:t>19, 24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cz, cm</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zone-air and mass heat capacities</w:t>
            </w:r>
          </w:p>
        </w:tc>
        <w:tc>
          <w:tcPr>
            <w:tcW w:type="dxa" w:w="1728"/>
            <w:vAlign w:val="top"/>
            <w:tcMar>
              <w:top w:w="80" w:type="dxa"/>
              <w:start w:w="80" w:type="dxa"/>
              <w:bottom w:w="80" w:type="dxa"/>
              <w:end w:w="80" w:type="dxa"/>
            </w:tcMar>
            <w:shd w:fill="F2F6FA"/>
          </w:tcPr>
          <w:p>
            <w:pPr>
              <w:spacing w:after="0"/>
            </w:pPr>
            <w:r>
              <w:rPr>
                <w:rFonts w:ascii="Arial" w:hAnsi="Arial"/>
                <w:sz w:val="15"/>
              </w:rPr>
              <w:t>kWh m⁻² K⁻¹</w:t>
            </w:r>
          </w:p>
        </w:tc>
        <w:tc>
          <w:tcPr>
            <w:tcW w:type="dxa" w:w="1224"/>
            <w:vAlign w:val="top"/>
            <w:tcMar>
              <w:top w:w="80" w:type="dxa"/>
              <w:start w:w="80" w:type="dxa"/>
              <w:bottom w:w="80" w:type="dxa"/>
              <w:end w:w="80" w:type="dxa"/>
            </w:tcMar>
            <w:shd w:fill="F2F6FA"/>
          </w:tcPr>
          <w:p>
            <w:pPr>
              <w:spacing w:after="0"/>
            </w:pPr>
            <w:r>
              <w:rPr>
                <w:rFonts w:ascii="Arial" w:hAnsi="Arial"/>
                <w:sz w:val="15"/>
              </w:rPr>
              <w:t>19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Henv</w:t>
            </w:r>
          </w:p>
        </w:tc>
        <w:tc>
          <w:tcPr>
            <w:tcW w:type="dxa" w:w="5616"/>
            <w:vAlign w:val="top"/>
            <w:tcMar>
              <w:top w:w="80" w:type="dxa"/>
              <w:start w:w="80" w:type="dxa"/>
              <w:bottom w:w="80" w:type="dxa"/>
              <w:end w:w="80" w:type="dxa"/>
            </w:tcMar>
          </w:tcPr>
          <w:p>
            <w:pPr>
              <w:spacing w:after="0"/>
            </w:pPr>
            <w:r>
              <w:rPr>
                <w:rFonts w:ascii="Arial" w:hAnsi="Arial"/>
                <w:sz w:val="15"/>
              </w:rPr>
              <w:t>Effective envelope heat-transfer coefficient</w:t>
            </w:r>
          </w:p>
        </w:tc>
        <w:tc>
          <w:tcPr>
            <w:tcW w:type="dxa" w:w="1728"/>
            <w:vAlign w:val="top"/>
            <w:tcMar>
              <w:top w:w="80" w:type="dxa"/>
              <w:start w:w="80" w:type="dxa"/>
              <w:bottom w:w="80" w:type="dxa"/>
              <w:end w:w="80" w:type="dxa"/>
            </w:tcMar>
          </w:tcPr>
          <w:p>
            <w:pPr>
              <w:spacing w:after="0"/>
            </w:pPr>
            <w:r>
              <w:rPr>
                <w:rFonts w:ascii="Arial" w:hAnsi="Arial"/>
                <w:sz w:val="15"/>
              </w:rPr>
              <w:t>kW K⁻¹</w:t>
            </w:r>
          </w:p>
        </w:tc>
        <w:tc>
          <w:tcPr>
            <w:tcW w:type="dxa" w:w="1224"/>
            <w:vAlign w:val="top"/>
            <w:tcMar>
              <w:top w:w="80" w:type="dxa"/>
              <w:start w:w="80" w:type="dxa"/>
              <w:bottom w:w="80" w:type="dxa"/>
              <w:end w:w="80" w:type="dxa"/>
            </w:tcMar>
          </w:tcPr>
          <w:p>
            <w:pPr>
              <w:spacing w:after="0"/>
            </w:pPr>
            <w:r>
              <w:rPr>
                <w:rFonts w:ascii="Arial" w:hAnsi="Arial"/>
                <w:sz w:val="15"/>
              </w:rPr>
              <w:t>20, 22, 24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fUA</w:t>
            </w:r>
          </w:p>
        </w:tc>
        <w:tc>
          <w:tcPr>
            <w:tcW w:type="dxa" w:w="5616"/>
            <w:vAlign w:val="top"/>
            <w:tcMar>
              <w:top w:w="80" w:type="dxa"/>
              <w:start w:w="80" w:type="dxa"/>
              <w:bottom w:w="80" w:type="dxa"/>
              <w:end w:w="80" w:type="dxa"/>
            </w:tcMar>
            <w:shd w:fill="F2F6FA"/>
          </w:tcPr>
          <w:p>
            <w:pPr>
              <w:spacing w:after="0"/>
            </w:pPr>
            <w:r>
              <w:rPr>
                <w:rFonts w:ascii="Arial" w:hAnsi="Arial"/>
                <w:sz w:val="15"/>
              </w:rPr>
              <w:t>Multiplier applied to the effective envelope UA term</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20</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Hvent</w:t>
            </w:r>
          </w:p>
        </w:tc>
        <w:tc>
          <w:tcPr>
            <w:tcW w:type="dxa" w:w="5616"/>
            <w:vAlign w:val="top"/>
            <w:tcMar>
              <w:top w:w="80" w:type="dxa"/>
              <w:start w:w="80" w:type="dxa"/>
              <w:bottom w:w="80" w:type="dxa"/>
              <w:end w:w="80" w:type="dxa"/>
            </w:tcMar>
          </w:tcPr>
          <w:p>
            <w:pPr>
              <w:spacing w:after="0"/>
            </w:pPr>
            <w:r>
              <w:rPr>
                <w:rFonts w:ascii="Arial" w:hAnsi="Arial"/>
                <w:sz w:val="15"/>
              </w:rPr>
              <w:t>Ventilation/infiltration heat-transfer coefficient</w:t>
            </w:r>
          </w:p>
        </w:tc>
        <w:tc>
          <w:tcPr>
            <w:tcW w:type="dxa" w:w="1728"/>
            <w:vAlign w:val="top"/>
            <w:tcMar>
              <w:top w:w="80" w:type="dxa"/>
              <w:start w:w="80" w:type="dxa"/>
              <w:bottom w:w="80" w:type="dxa"/>
              <w:end w:w="80" w:type="dxa"/>
            </w:tcMar>
          </w:tcPr>
          <w:p>
            <w:pPr>
              <w:spacing w:after="0"/>
            </w:pPr>
            <w:r>
              <w:rPr>
                <w:rFonts w:ascii="Arial" w:hAnsi="Arial"/>
                <w:sz w:val="15"/>
              </w:rPr>
              <w:t>kW K⁻¹</w:t>
            </w:r>
          </w:p>
        </w:tc>
        <w:tc>
          <w:tcPr>
            <w:tcW w:type="dxa" w:w="1224"/>
            <w:vAlign w:val="top"/>
            <w:tcMar>
              <w:top w:w="80" w:type="dxa"/>
              <w:start w:w="80" w:type="dxa"/>
              <w:bottom w:w="80" w:type="dxa"/>
              <w:end w:w="80" w:type="dxa"/>
            </w:tcMar>
          </w:tcPr>
          <w:p>
            <w:pPr>
              <w:spacing w:after="0"/>
            </w:pPr>
            <w:r>
              <w:rPr>
                <w:rFonts w:ascii="Arial" w:hAnsi="Arial"/>
                <w:sz w:val="15"/>
              </w:rPr>
              <w:t>21–22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ρair</w:t>
            </w:r>
          </w:p>
        </w:tc>
        <w:tc>
          <w:tcPr>
            <w:tcW w:type="dxa" w:w="5616"/>
            <w:vAlign w:val="top"/>
            <w:tcMar>
              <w:top w:w="80" w:type="dxa"/>
              <w:start w:w="80" w:type="dxa"/>
              <w:bottom w:w="80" w:type="dxa"/>
              <w:end w:w="80" w:type="dxa"/>
            </w:tcMar>
            <w:shd w:fill="F2F6FA"/>
          </w:tcPr>
          <w:p>
            <w:pPr>
              <w:spacing w:after="0"/>
            </w:pPr>
            <w:r>
              <w:rPr>
                <w:rFonts w:ascii="Arial" w:hAnsi="Arial"/>
                <w:sz w:val="15"/>
              </w:rPr>
              <w:t>Air density</w:t>
            </w:r>
          </w:p>
        </w:tc>
        <w:tc>
          <w:tcPr>
            <w:tcW w:type="dxa" w:w="1728"/>
            <w:vAlign w:val="top"/>
            <w:tcMar>
              <w:top w:w="80" w:type="dxa"/>
              <w:start w:w="80" w:type="dxa"/>
              <w:bottom w:w="80" w:type="dxa"/>
              <w:end w:w="80" w:type="dxa"/>
            </w:tcMar>
            <w:shd w:fill="F2F6FA"/>
          </w:tcPr>
          <w:p>
            <w:pPr>
              <w:spacing w:after="0"/>
            </w:pPr>
            <w:r>
              <w:rPr>
                <w:rFonts w:ascii="Arial" w:hAnsi="Arial"/>
                <w:sz w:val="15"/>
              </w:rPr>
              <w:t>kg m⁻³</w:t>
            </w:r>
          </w:p>
        </w:tc>
        <w:tc>
          <w:tcPr>
            <w:tcW w:type="dxa" w:w="1224"/>
            <w:vAlign w:val="top"/>
            <w:tcMar>
              <w:top w:w="80" w:type="dxa"/>
              <w:start w:w="80" w:type="dxa"/>
              <w:bottom w:w="80" w:type="dxa"/>
              <w:end w:w="80" w:type="dxa"/>
            </w:tcMar>
            <w:shd w:fill="F2F6FA"/>
          </w:tcPr>
          <w:p>
            <w:pPr>
              <w:spacing w:after="0"/>
            </w:pPr>
            <w:r>
              <w:rPr>
                <w:rFonts w:ascii="Arial" w:hAnsi="Arial"/>
                <w:sz w:val="15"/>
              </w:rPr>
              <w:t>21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cp,air</w:t>
            </w:r>
          </w:p>
        </w:tc>
        <w:tc>
          <w:tcPr>
            <w:tcW w:type="dxa" w:w="5616"/>
            <w:vAlign w:val="top"/>
            <w:tcMar>
              <w:top w:w="80" w:type="dxa"/>
              <w:start w:w="80" w:type="dxa"/>
              <w:bottom w:w="80" w:type="dxa"/>
              <w:end w:w="80" w:type="dxa"/>
            </w:tcMar>
          </w:tcPr>
          <w:p>
            <w:pPr>
              <w:spacing w:after="0"/>
            </w:pPr>
            <w:r>
              <w:rPr>
                <w:rFonts w:ascii="Arial" w:hAnsi="Arial"/>
                <w:sz w:val="15"/>
              </w:rPr>
              <w:t>Specific heat capacity of air</w:t>
            </w:r>
          </w:p>
        </w:tc>
        <w:tc>
          <w:tcPr>
            <w:tcW w:type="dxa" w:w="1728"/>
            <w:vAlign w:val="top"/>
            <w:tcMar>
              <w:top w:w="80" w:type="dxa"/>
              <w:start w:w="80" w:type="dxa"/>
              <w:bottom w:w="80" w:type="dxa"/>
              <w:end w:w="80" w:type="dxa"/>
            </w:tcMar>
          </w:tcPr>
          <w:p>
            <w:pPr>
              <w:spacing w:after="0"/>
            </w:pPr>
            <w:r>
              <w:rPr>
                <w:rFonts w:ascii="Arial" w:hAnsi="Arial"/>
                <w:sz w:val="15"/>
              </w:rPr>
              <w:t>kJ kg⁻¹ K⁻¹</w:t>
            </w:r>
          </w:p>
        </w:tc>
        <w:tc>
          <w:tcPr>
            <w:tcW w:type="dxa" w:w="1224"/>
            <w:vAlign w:val="top"/>
            <w:tcMar>
              <w:top w:w="80" w:type="dxa"/>
              <w:start w:w="80" w:type="dxa"/>
              <w:bottom w:w="80" w:type="dxa"/>
              <w:end w:w="80" w:type="dxa"/>
            </w:tcMar>
          </w:tcPr>
          <w:p>
            <w:pPr>
              <w:spacing w:after="0"/>
            </w:pPr>
            <w:r>
              <w:rPr>
                <w:rFonts w:ascii="Arial" w:hAnsi="Arial"/>
                <w:sz w:val="15"/>
              </w:rPr>
              <w:t>21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fvent</w:t>
            </w:r>
          </w:p>
        </w:tc>
        <w:tc>
          <w:tcPr>
            <w:tcW w:type="dxa" w:w="5616"/>
            <w:vAlign w:val="top"/>
            <w:tcMar>
              <w:top w:w="80" w:type="dxa"/>
              <w:start w:w="80" w:type="dxa"/>
              <w:bottom w:w="80" w:type="dxa"/>
              <w:end w:w="80" w:type="dxa"/>
            </w:tcMar>
            <w:shd w:fill="F2F6FA"/>
          </w:tcPr>
          <w:p>
            <w:pPr>
              <w:spacing w:after="0"/>
            </w:pPr>
            <w:r>
              <w:rPr>
                <w:rFonts w:ascii="Arial" w:hAnsi="Arial"/>
                <w:sz w:val="15"/>
              </w:rPr>
              <w:t>Ventilation heat-transfer multiplier</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Hmz</w:t>
            </w:r>
          </w:p>
        </w:tc>
        <w:tc>
          <w:tcPr>
            <w:tcW w:type="dxa" w:w="5616"/>
            <w:vAlign w:val="top"/>
            <w:tcMar>
              <w:top w:w="80" w:type="dxa"/>
              <w:start w:w="80" w:type="dxa"/>
              <w:bottom w:w="80" w:type="dxa"/>
              <w:end w:w="80" w:type="dxa"/>
            </w:tcMar>
          </w:tcPr>
          <w:p>
            <w:pPr>
              <w:spacing w:after="0"/>
            </w:pPr>
            <w:r>
              <w:rPr>
                <w:rFonts w:ascii="Arial" w:hAnsi="Arial"/>
                <w:sz w:val="15"/>
              </w:rPr>
              <w:t>Thermal coupling coefficient between building mass and zone air</w:t>
            </w:r>
          </w:p>
        </w:tc>
        <w:tc>
          <w:tcPr>
            <w:tcW w:type="dxa" w:w="1728"/>
            <w:vAlign w:val="top"/>
            <w:tcMar>
              <w:top w:w="80" w:type="dxa"/>
              <w:start w:w="80" w:type="dxa"/>
              <w:bottom w:w="80" w:type="dxa"/>
              <w:end w:w="80" w:type="dxa"/>
            </w:tcMar>
          </w:tcPr>
          <w:p>
            <w:pPr>
              <w:spacing w:after="0"/>
            </w:pPr>
            <w:r>
              <w:rPr>
                <w:rFonts w:ascii="Arial" w:hAnsi="Arial"/>
                <w:sz w:val="15"/>
              </w:rPr>
              <w:t>kW K⁻¹</w:t>
            </w:r>
          </w:p>
        </w:tc>
        <w:tc>
          <w:tcPr>
            <w:tcW w:type="dxa" w:w="1224"/>
            <w:vAlign w:val="top"/>
            <w:tcMar>
              <w:top w:w="80" w:type="dxa"/>
              <w:start w:w="80" w:type="dxa"/>
              <w:bottom w:w="80" w:type="dxa"/>
              <w:end w:w="80" w:type="dxa"/>
            </w:tcMar>
          </w:tcPr>
          <w:p>
            <w:pPr>
              <w:spacing w:after="0"/>
            </w:pPr>
            <w:r>
              <w:rPr>
                <w:rFonts w:ascii="Arial" w:hAnsi="Arial"/>
                <w:sz w:val="15"/>
              </w:rPr>
              <w:t>21–24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hmz</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mass-zone coupling coefficient</w:t>
            </w:r>
          </w:p>
        </w:tc>
        <w:tc>
          <w:tcPr>
            <w:tcW w:type="dxa" w:w="1728"/>
            <w:vAlign w:val="top"/>
            <w:tcMar>
              <w:top w:w="80" w:type="dxa"/>
              <w:start w:w="80" w:type="dxa"/>
              <w:bottom w:w="80" w:type="dxa"/>
              <w:end w:w="80" w:type="dxa"/>
            </w:tcMar>
            <w:shd w:fill="F2F6FA"/>
          </w:tcPr>
          <w:p>
            <w:pPr>
              <w:spacing w:after="0"/>
            </w:pPr>
            <w:r>
              <w:rPr>
                <w:rFonts w:ascii="Arial" w:hAnsi="Arial"/>
                <w:sz w:val="15"/>
              </w:rPr>
              <w:t>W m⁻² K⁻¹</w:t>
            </w:r>
          </w:p>
        </w:tc>
        <w:tc>
          <w:tcPr>
            <w:tcW w:type="dxa" w:w="1224"/>
            <w:vAlign w:val="top"/>
            <w:tcMar>
              <w:top w:w="80" w:type="dxa"/>
              <w:start w:w="80" w:type="dxa"/>
              <w:bottom w:w="80" w:type="dxa"/>
              <w:end w:w="80" w:type="dxa"/>
            </w:tcMar>
            <w:shd w:fill="F2F6FA"/>
          </w:tcPr>
          <w:p>
            <w:pPr>
              <w:spacing w:after="0"/>
            </w:pPr>
            <w:r>
              <w:rPr>
                <w:rFonts w:ascii="Arial" w:hAnsi="Arial"/>
                <w:sz w:val="15"/>
              </w:rPr>
              <w:t>21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Tz,ₜ</w:t>
            </w:r>
          </w:p>
        </w:tc>
        <w:tc>
          <w:tcPr>
            <w:tcW w:type="dxa" w:w="5616"/>
            <w:vAlign w:val="top"/>
            <w:tcMar>
              <w:top w:w="80" w:type="dxa"/>
              <w:start w:w="80" w:type="dxa"/>
              <w:bottom w:w="80" w:type="dxa"/>
              <w:end w:w="80" w:type="dxa"/>
            </w:tcMar>
          </w:tcPr>
          <w:p>
            <w:pPr>
              <w:spacing w:after="0"/>
            </w:pPr>
            <w:r>
              <w:rPr>
                <w:rFonts w:ascii="Arial" w:hAnsi="Arial"/>
                <w:sz w:val="15"/>
              </w:rPr>
              <w:t>Equivalent zone-air state temperature</w:t>
            </w:r>
          </w:p>
        </w:tc>
        <w:tc>
          <w:tcPr>
            <w:tcW w:type="dxa" w:w="1728"/>
            <w:vAlign w:val="top"/>
            <w:tcMar>
              <w:top w:w="80" w:type="dxa"/>
              <w:start w:w="80" w:type="dxa"/>
              <w:bottom w:w="80" w:type="dxa"/>
              <w:end w:w="80" w:type="dxa"/>
            </w:tcMar>
          </w:tcPr>
          <w:p>
            <w:pPr>
              <w:spacing w:after="0"/>
            </w:pPr>
            <w:r>
              <w:rPr>
                <w:rFonts w:ascii="Arial" w:hAnsi="Arial"/>
                <w:sz w:val="15"/>
              </w:rPr>
              <w:t>°C</w:t>
            </w:r>
          </w:p>
        </w:tc>
        <w:tc>
          <w:tcPr>
            <w:tcW w:type="dxa" w:w="1224"/>
            <w:vAlign w:val="top"/>
            <w:tcMar>
              <w:top w:w="80" w:type="dxa"/>
              <w:start w:w="80" w:type="dxa"/>
              <w:bottom w:w="80" w:type="dxa"/>
              <w:end w:w="80" w:type="dxa"/>
            </w:tcMar>
          </w:tcPr>
          <w:p>
            <w:pPr>
              <w:spacing w:after="0"/>
            </w:pPr>
            <w:r>
              <w:rPr>
                <w:rFonts w:ascii="Arial" w:hAnsi="Arial"/>
                <w:sz w:val="15"/>
              </w:rPr>
              <w:t>22, 24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Tm,ₜ</w:t>
            </w:r>
          </w:p>
        </w:tc>
        <w:tc>
          <w:tcPr>
            <w:tcW w:type="dxa" w:w="5616"/>
            <w:vAlign w:val="top"/>
            <w:tcMar>
              <w:top w:w="80" w:type="dxa"/>
              <w:start w:w="80" w:type="dxa"/>
              <w:bottom w:w="80" w:type="dxa"/>
              <w:end w:w="80" w:type="dxa"/>
            </w:tcMar>
            <w:shd w:fill="F2F6FA"/>
          </w:tcPr>
          <w:p>
            <w:pPr>
              <w:spacing w:after="0"/>
            </w:pPr>
            <w:r>
              <w:rPr>
                <w:rFonts w:ascii="Arial" w:hAnsi="Arial"/>
                <w:sz w:val="15"/>
              </w:rPr>
              <w:t>Equivalent building-mass state temperature</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22, 24</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Tz,ₜfree</w:t>
            </w:r>
          </w:p>
        </w:tc>
        <w:tc>
          <w:tcPr>
            <w:tcW w:type="dxa" w:w="5616"/>
            <w:vAlign w:val="top"/>
            <w:tcMar>
              <w:top w:w="80" w:type="dxa"/>
              <w:start w:w="80" w:type="dxa"/>
              <w:bottom w:w="80" w:type="dxa"/>
              <w:end w:w="80" w:type="dxa"/>
            </w:tcMar>
          </w:tcPr>
          <w:p>
            <w:pPr>
              <w:spacing w:after="0"/>
            </w:pPr>
            <w:r>
              <w:rPr>
                <w:rFonts w:ascii="Arial" w:hAnsi="Arial"/>
                <w:sz w:val="15"/>
              </w:rPr>
              <w:t>Predicted free-floating zone temperature before HVAC action</w:t>
            </w:r>
          </w:p>
        </w:tc>
        <w:tc>
          <w:tcPr>
            <w:tcW w:type="dxa" w:w="1728"/>
            <w:vAlign w:val="top"/>
            <w:tcMar>
              <w:top w:w="80" w:type="dxa"/>
              <w:start w:w="80" w:type="dxa"/>
              <w:bottom w:w="80" w:type="dxa"/>
              <w:end w:w="80" w:type="dxa"/>
            </w:tcMar>
          </w:tcPr>
          <w:p>
            <w:pPr>
              <w:spacing w:after="0"/>
            </w:pPr>
            <w:r>
              <w:rPr>
                <w:rFonts w:ascii="Arial" w:hAnsi="Arial"/>
                <w:sz w:val="15"/>
              </w:rPr>
              <w:t>°C</w:t>
            </w:r>
          </w:p>
        </w:tc>
        <w:tc>
          <w:tcPr>
            <w:tcW w:type="dxa" w:w="1224"/>
            <w:vAlign w:val="top"/>
            <w:tcMar>
              <w:top w:w="80" w:type="dxa"/>
              <w:start w:w="80" w:type="dxa"/>
              <w:bottom w:w="80" w:type="dxa"/>
              <w:end w:w="80" w:type="dxa"/>
            </w:tcMar>
          </w:tcPr>
          <w:p>
            <w:pPr>
              <w:spacing w:after="0"/>
            </w:pPr>
            <w:r>
              <w:rPr>
                <w:rFonts w:ascii="Arial" w:hAnsi="Arial"/>
                <w:sz w:val="15"/>
              </w:rPr>
              <w:t>22–24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Th,sp, Tc,sp</w:t>
            </w:r>
          </w:p>
        </w:tc>
        <w:tc>
          <w:tcPr>
            <w:tcW w:type="dxa" w:w="5616"/>
            <w:vAlign w:val="top"/>
            <w:tcMar>
              <w:top w:w="80" w:type="dxa"/>
              <w:start w:w="80" w:type="dxa"/>
              <w:bottom w:w="80" w:type="dxa"/>
              <w:end w:w="80" w:type="dxa"/>
            </w:tcMar>
            <w:shd w:fill="F2F6FA"/>
          </w:tcPr>
          <w:p>
            <w:pPr>
              <w:spacing w:after="0"/>
            </w:pPr>
            <w:r>
              <w:rPr>
                <w:rFonts w:ascii="Arial" w:hAnsi="Arial"/>
                <w:sz w:val="15"/>
              </w:rPr>
              <w:t>Heating and cooling thermostat setpoints used by the dynamic solver</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23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Qsol,a,ₜ, Qsol,m,ₜ</w:t>
            </w:r>
          </w:p>
        </w:tc>
        <w:tc>
          <w:tcPr>
            <w:tcW w:type="dxa" w:w="5616"/>
            <w:vAlign w:val="top"/>
            <w:tcMar>
              <w:top w:w="80" w:type="dxa"/>
              <w:start w:w="80" w:type="dxa"/>
              <w:bottom w:w="80" w:type="dxa"/>
              <w:end w:w="80" w:type="dxa"/>
            </w:tcMar>
          </w:tcPr>
          <w:p>
            <w:pPr>
              <w:spacing w:after="0"/>
            </w:pPr>
            <w:r>
              <w:rPr>
                <w:rFonts w:ascii="Arial" w:hAnsi="Arial"/>
                <w:sz w:val="15"/>
              </w:rPr>
              <w:t>Solar gains assigned to zone air and thermal mass</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22, 24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Qint,a,ₜ, Qint,m,ₜ</w:t>
            </w:r>
          </w:p>
        </w:tc>
        <w:tc>
          <w:tcPr>
            <w:tcW w:type="dxa" w:w="5616"/>
            <w:vAlign w:val="top"/>
            <w:tcMar>
              <w:top w:w="80" w:type="dxa"/>
              <w:start w:w="80" w:type="dxa"/>
              <w:bottom w:w="80" w:type="dxa"/>
              <w:end w:w="80" w:type="dxa"/>
            </w:tcMar>
            <w:shd w:fill="F2F6FA"/>
          </w:tcPr>
          <w:p>
            <w:pPr>
              <w:spacing w:after="0"/>
            </w:pPr>
            <w:r>
              <w:rPr>
                <w:rFonts w:ascii="Arial" w:hAnsi="Arial"/>
                <w:sz w:val="15"/>
              </w:rPr>
              <w:t>Internal gains assigned to zone air and thermal mass</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22, 24</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Qc,dyn,ₜ, Qh,dyn,ₜ</w:t>
            </w:r>
          </w:p>
        </w:tc>
        <w:tc>
          <w:tcPr>
            <w:tcW w:type="dxa" w:w="5616"/>
            <w:vAlign w:val="top"/>
            <w:tcMar>
              <w:top w:w="80" w:type="dxa"/>
              <w:start w:w="80" w:type="dxa"/>
              <w:bottom w:w="80" w:type="dxa"/>
              <w:end w:w="80" w:type="dxa"/>
            </w:tcMar>
          </w:tcPr>
          <w:p>
            <w:pPr>
              <w:spacing w:after="0"/>
            </w:pPr>
            <w:r>
              <w:rPr>
                <w:rFonts w:ascii="Arial" w:hAnsi="Arial"/>
                <w:sz w:val="15"/>
              </w:rPr>
              <w:t>Dynamic cooling and heating demands required to enforce thermostat limits</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23–25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ε</w:t>
            </w:r>
          </w:p>
        </w:tc>
        <w:tc>
          <w:tcPr>
            <w:tcW w:type="dxa" w:w="5616"/>
            <w:vAlign w:val="top"/>
            <w:tcMar>
              <w:top w:w="80" w:type="dxa"/>
              <w:start w:w="80" w:type="dxa"/>
              <w:bottom w:w="80" w:type="dxa"/>
              <w:end w:w="80" w:type="dxa"/>
            </w:tcMar>
            <w:shd w:fill="F2F6FA"/>
          </w:tcPr>
          <w:p>
            <w:pPr>
              <w:spacing w:after="0"/>
            </w:pPr>
            <w:r>
              <w:rPr>
                <w:rFonts w:ascii="Arial" w:hAnsi="Arial"/>
                <w:sz w:val="15"/>
              </w:rPr>
              <w:t>Dynamic control effectiveness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24</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Tmin, Tmax</w:t>
            </w:r>
          </w:p>
        </w:tc>
        <w:tc>
          <w:tcPr>
            <w:tcW w:type="dxa" w:w="5616"/>
            <w:vAlign w:val="top"/>
            <w:tcMar>
              <w:top w:w="80" w:type="dxa"/>
              <w:start w:w="80" w:type="dxa"/>
              <w:bottom w:w="80" w:type="dxa"/>
              <w:end w:w="80" w:type="dxa"/>
            </w:tcMar>
          </w:tcPr>
          <w:p>
            <w:pPr>
              <w:spacing w:after="0"/>
            </w:pPr>
            <w:r>
              <w:rPr>
                <w:rFonts w:ascii="Arial" w:hAnsi="Arial"/>
                <w:sz w:val="15"/>
              </w:rPr>
              <w:t>Lower and upper bounds for dynamic thermal states</w:t>
            </w:r>
          </w:p>
        </w:tc>
        <w:tc>
          <w:tcPr>
            <w:tcW w:type="dxa" w:w="1728"/>
            <w:vAlign w:val="top"/>
            <w:tcMar>
              <w:top w:w="80" w:type="dxa"/>
              <w:start w:w="80" w:type="dxa"/>
              <w:bottom w:w="80" w:type="dxa"/>
              <w:end w:w="80" w:type="dxa"/>
            </w:tcMar>
          </w:tcPr>
          <w:p>
            <w:pPr>
              <w:spacing w:after="0"/>
            </w:pPr>
            <w:r>
              <w:rPr>
                <w:rFonts w:ascii="Arial" w:hAnsi="Arial"/>
                <w:sz w:val="15"/>
              </w:rPr>
              <w:t>°C</w:t>
            </w:r>
          </w:p>
        </w:tc>
        <w:tc>
          <w:tcPr>
            <w:tcW w:type="dxa" w:w="1224"/>
            <w:vAlign w:val="top"/>
            <w:tcMar>
              <w:top w:w="80" w:type="dxa"/>
              <w:start w:w="80" w:type="dxa"/>
              <w:bottom w:w="80" w:type="dxa"/>
              <w:end w:w="80" w:type="dxa"/>
            </w:tcMar>
          </w:tcPr>
          <w:p>
            <w:pPr>
              <w:spacing w:after="0"/>
            </w:pPr>
            <w:r>
              <w:rPr>
                <w:rFonts w:ascii="Arial" w:hAnsi="Arial"/>
                <w:sz w:val="15"/>
              </w:rPr>
              <w:t>24</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Dynamic RC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βRC</w:t>
            </w:r>
          </w:p>
        </w:tc>
        <w:tc>
          <w:tcPr>
            <w:tcW w:type="dxa" w:w="5616"/>
            <w:vAlign w:val="top"/>
            <w:tcMar>
              <w:top w:w="80" w:type="dxa"/>
              <w:start w:w="80" w:type="dxa"/>
              <w:bottom w:w="80" w:type="dxa"/>
              <w:end w:w="80" w:type="dxa"/>
            </w:tcMar>
            <w:shd w:fill="F2F6FA"/>
          </w:tcPr>
          <w:p>
            <w:pPr>
              <w:spacing w:after="0"/>
            </w:pPr>
            <w:r>
              <w:rPr>
                <w:rFonts w:ascii="Arial" w:hAnsi="Arial"/>
                <w:sz w:val="15"/>
              </w:rPr>
              <w:t>Fraction replacing static load with the dynamic RC load</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Dynamic RC model</w:t>
            </w:r>
          </w:p>
        </w:tc>
        <w:tc>
          <w:tcPr>
            <w:tcW w:type="dxa" w:w="1800"/>
            <w:vAlign w:val="top"/>
            <w:tcMar>
              <w:top w:w="80" w:type="dxa"/>
              <w:start w:w="80" w:type="dxa"/>
              <w:bottom w:w="80" w:type="dxa"/>
              <w:end w:w="80" w:type="dxa"/>
            </w:tcMar>
          </w:tcPr>
          <w:p>
            <w:pPr>
              <w:spacing w:after="0"/>
            </w:pPr>
            <w:r>
              <w:rPr>
                <w:rFonts w:ascii="Cambria Math" w:hAnsi="Cambria Math"/>
                <w:sz w:val="15"/>
              </w:rPr>
              <w:t>Qc,RC,ₜ, Qh,RC,ₜ</w:t>
            </w:r>
          </w:p>
        </w:tc>
        <w:tc>
          <w:tcPr>
            <w:tcW w:type="dxa" w:w="5616"/>
            <w:vAlign w:val="top"/>
            <w:tcMar>
              <w:top w:w="80" w:type="dxa"/>
              <w:start w:w="80" w:type="dxa"/>
              <w:bottom w:w="80" w:type="dxa"/>
              <w:end w:w="80" w:type="dxa"/>
            </w:tcMar>
          </w:tcPr>
          <w:p>
            <w:pPr>
              <w:spacing w:after="0"/>
            </w:pPr>
            <w:r>
              <w:rPr>
                <w:rFonts w:ascii="Arial" w:hAnsi="Arial"/>
                <w:sz w:val="15"/>
              </w:rPr>
              <w:t>Cooling and heating loads after static/dynamic blending</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25–26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ac,m, ah,m</w:t>
            </w:r>
          </w:p>
        </w:tc>
        <w:tc>
          <w:tcPr>
            <w:tcW w:type="dxa" w:w="5616"/>
            <w:vAlign w:val="top"/>
            <w:tcMar>
              <w:top w:w="80" w:type="dxa"/>
              <w:start w:w="80" w:type="dxa"/>
              <w:bottom w:w="80" w:type="dxa"/>
              <w:end w:w="80" w:type="dxa"/>
            </w:tcMar>
            <w:shd w:fill="F2F6FA"/>
          </w:tcPr>
          <w:p>
            <w:pPr>
              <w:spacing w:after="0"/>
            </w:pPr>
            <w:r>
              <w:rPr>
                <w:rFonts w:ascii="Arial" w:hAnsi="Arial"/>
                <w:sz w:val="15"/>
              </w:rPr>
              <w:t>Month-specific cooling and heating availability factors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26, 28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tcPr>
          <w:p>
            <w:pPr>
              <w:spacing w:after="0"/>
            </w:pPr>
            <w:r>
              <w:rPr>
                <w:rFonts w:ascii="Cambria Math" w:hAnsi="Cambria Math"/>
                <w:sz w:val="15"/>
              </w:rPr>
              <w:t>Qc,av,ₜ, Qh,av,ₜ</w:t>
            </w:r>
          </w:p>
        </w:tc>
        <w:tc>
          <w:tcPr>
            <w:tcW w:type="dxa" w:w="5616"/>
            <w:vAlign w:val="top"/>
            <w:tcMar>
              <w:top w:w="80" w:type="dxa"/>
              <w:start w:w="80" w:type="dxa"/>
              <w:bottom w:w="80" w:type="dxa"/>
              <w:end w:w="80" w:type="dxa"/>
            </w:tcMar>
          </w:tcPr>
          <w:p>
            <w:pPr>
              <w:spacing w:after="0"/>
            </w:pPr>
            <w:r>
              <w:rPr>
                <w:rFonts w:ascii="Arial" w:hAnsi="Arial"/>
                <w:sz w:val="15"/>
              </w:rPr>
              <w:t>Loads after monthly availability correction</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26, 29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wo</w:t>
            </w:r>
          </w:p>
        </w:tc>
        <w:tc>
          <w:tcPr>
            <w:tcW w:type="dxa" w:w="5616"/>
            <w:vAlign w:val="top"/>
            <w:tcMar>
              <w:top w:w="80" w:type="dxa"/>
              <w:start w:w="80" w:type="dxa"/>
              <w:bottom w:w="80" w:type="dxa"/>
              <w:end w:w="80" w:type="dxa"/>
            </w:tcMar>
            <w:shd w:fill="F2F6FA"/>
          </w:tcPr>
          <w:p>
            <w:pPr>
              <w:spacing w:after="0"/>
            </w:pPr>
            <w:r>
              <w:rPr>
                <w:rFonts w:ascii="Arial" w:hAnsi="Arial"/>
                <w:sz w:val="15"/>
              </w:rPr>
              <w:t>Weight of occupancy in the minimum-load factor</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tcPr>
          <w:p>
            <w:pPr>
              <w:spacing w:after="0"/>
            </w:pPr>
            <w:r>
              <w:rPr>
                <w:rFonts w:ascii="Cambria Math" w:hAnsi="Cambria Math"/>
                <w:sz w:val="15"/>
              </w:rPr>
              <w:t>focc,ₜ</w:t>
            </w:r>
          </w:p>
        </w:tc>
        <w:tc>
          <w:tcPr>
            <w:tcW w:type="dxa" w:w="5616"/>
            <w:vAlign w:val="top"/>
            <w:tcMar>
              <w:top w:w="80" w:type="dxa"/>
              <w:start w:w="80" w:type="dxa"/>
              <w:bottom w:w="80" w:type="dxa"/>
              <w:end w:w="80" w:type="dxa"/>
            </w:tcMar>
          </w:tcPr>
          <w:p>
            <w:pPr>
              <w:spacing w:after="0"/>
            </w:pPr>
            <w:r>
              <w:rPr>
                <w:rFonts w:ascii="Arial" w:hAnsi="Arial"/>
                <w:sz w:val="15"/>
              </w:rPr>
              <w:t>Occupancy factor used for minimum operational loads</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27–28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rc,m, rh,m</w:t>
            </w:r>
          </w:p>
        </w:tc>
        <w:tc>
          <w:tcPr>
            <w:tcW w:type="dxa" w:w="5616"/>
            <w:vAlign w:val="top"/>
            <w:tcMar>
              <w:top w:w="80" w:type="dxa"/>
              <w:start w:w="80" w:type="dxa"/>
              <w:bottom w:w="80" w:type="dxa"/>
              <w:end w:w="80" w:type="dxa"/>
            </w:tcMar>
            <w:shd w:fill="F2F6FA"/>
          </w:tcPr>
          <w:p>
            <w:pPr>
              <w:spacing w:after="0"/>
            </w:pPr>
            <w:r>
              <w:rPr>
                <w:rFonts w:ascii="Arial" w:hAnsi="Arial"/>
                <w:sz w:val="15"/>
              </w:rPr>
              <w:t>Month-specific minimum cooling and heating load fractions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28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tcPr>
          <w:p>
            <w:pPr>
              <w:spacing w:after="0"/>
            </w:pPr>
            <w:r>
              <w:rPr>
                <w:rFonts w:ascii="Cambria Math" w:hAnsi="Cambria Math"/>
                <w:sz w:val="15"/>
              </w:rPr>
              <w:t>Qc,min,ₜ, Qh,min,ₜ</w:t>
            </w:r>
          </w:p>
        </w:tc>
        <w:tc>
          <w:tcPr>
            <w:tcW w:type="dxa" w:w="5616"/>
            <w:vAlign w:val="top"/>
            <w:tcMar>
              <w:top w:w="80" w:type="dxa"/>
              <w:start w:w="80" w:type="dxa"/>
              <w:bottom w:w="80" w:type="dxa"/>
              <w:end w:w="80" w:type="dxa"/>
            </w:tcMar>
          </w:tcPr>
          <w:p>
            <w:pPr>
              <w:spacing w:after="0"/>
            </w:pPr>
            <w:r>
              <w:rPr>
                <w:rFonts w:ascii="Arial" w:hAnsi="Arial"/>
                <w:sz w:val="15"/>
              </w:rPr>
              <w:t>Month-specific minimum operational loads</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28–29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Monthly and calibration layers</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Qc,op,ₜ, Qh,op,ₜ</w:t>
            </w:r>
          </w:p>
        </w:tc>
        <w:tc>
          <w:tcPr>
            <w:tcW w:type="dxa" w:w="5616"/>
            <w:vAlign w:val="top"/>
            <w:tcMar>
              <w:top w:w="80" w:type="dxa"/>
              <w:start w:w="80" w:type="dxa"/>
              <w:bottom w:w="80" w:type="dxa"/>
              <w:end w:w="80" w:type="dxa"/>
            </w:tcMar>
            <w:shd w:fill="F2F6FA"/>
          </w:tcPr>
          <w:p>
            <w:pPr>
              <w:spacing w:after="0"/>
            </w:pPr>
            <w:r>
              <w:rPr>
                <w:rFonts w:ascii="Arial" w:hAnsi="Arial"/>
                <w:sz w:val="15"/>
              </w:rPr>
              <w:t>Accepted operational loads before capacity limiting</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29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Rf,ₜ</w:t>
            </w:r>
          </w:p>
        </w:tc>
        <w:tc>
          <w:tcPr>
            <w:tcW w:type="dxa" w:w="5616"/>
            <w:vAlign w:val="top"/>
            <w:tcMar>
              <w:top w:w="80" w:type="dxa"/>
              <w:start w:w="80" w:type="dxa"/>
              <w:bottom w:w="80" w:type="dxa"/>
              <w:end w:w="80" w:type="dxa"/>
            </w:tcMar>
          </w:tcPr>
          <w:p>
            <w:pPr>
              <w:spacing w:after="0"/>
            </w:pPr>
            <w:r>
              <w:rPr>
                <w:rFonts w:ascii="Arial" w:hAnsi="Arial"/>
                <w:sz w:val="15"/>
              </w:rPr>
              <w:t>Heat-exchanger fouling resistance at time step t</w:t>
            </w:r>
          </w:p>
        </w:tc>
        <w:tc>
          <w:tcPr>
            <w:tcW w:type="dxa" w:w="1728"/>
            <w:vAlign w:val="top"/>
            <w:tcMar>
              <w:top w:w="80" w:type="dxa"/>
              <w:start w:w="80" w:type="dxa"/>
              <w:bottom w:w="80" w:type="dxa"/>
              <w:end w:w="80" w:type="dxa"/>
            </w:tcMar>
          </w:tcPr>
          <w:p>
            <w:pPr>
              <w:spacing w:after="0"/>
            </w:pPr>
            <w:r>
              <w:rPr>
                <w:rFonts w:ascii="Arial" w:hAnsi="Arial"/>
                <w:sz w:val="15"/>
              </w:rPr>
              <w:t>m² K W⁻¹</w:t>
            </w:r>
          </w:p>
        </w:tc>
        <w:tc>
          <w:tcPr>
            <w:tcW w:type="dxa" w:w="1224"/>
            <w:vAlign w:val="top"/>
            <w:tcMar>
              <w:top w:w="80" w:type="dxa"/>
              <w:start w:w="80" w:type="dxa"/>
              <w:bottom w:w="80" w:type="dxa"/>
              <w:end w:w="80" w:type="dxa"/>
            </w:tcMar>
          </w:tcPr>
          <w:p>
            <w:pPr>
              <w:spacing w:after="0"/>
            </w:pPr>
            <w:r>
              <w:rPr>
                <w:rFonts w:ascii="Arial" w:hAnsi="Arial"/>
                <w:sz w:val="15"/>
              </w:rPr>
              <w:t>30, 33–35, 56, 58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Degradation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Rf*</w:t>
            </w:r>
          </w:p>
        </w:tc>
        <w:tc>
          <w:tcPr>
            <w:tcW w:type="dxa" w:w="5616"/>
            <w:vAlign w:val="top"/>
            <w:tcMar>
              <w:top w:w="80" w:type="dxa"/>
              <w:start w:w="80" w:type="dxa"/>
              <w:bottom w:w="80" w:type="dxa"/>
              <w:end w:w="80" w:type="dxa"/>
            </w:tcMar>
            <w:shd w:fill="F2F6FA"/>
          </w:tcPr>
          <w:p>
            <w:pPr>
              <w:spacing w:after="0"/>
            </w:pPr>
            <w:r>
              <w:rPr>
                <w:rFonts w:ascii="Arial" w:hAnsi="Arial"/>
                <w:sz w:val="15"/>
              </w:rPr>
              <w:t>Asymptotic/reference fouling resistance</w:t>
            </w:r>
          </w:p>
        </w:tc>
        <w:tc>
          <w:tcPr>
            <w:tcW w:type="dxa" w:w="1728"/>
            <w:vAlign w:val="top"/>
            <w:tcMar>
              <w:top w:w="80" w:type="dxa"/>
              <w:start w:w="80" w:type="dxa"/>
              <w:bottom w:w="80" w:type="dxa"/>
              <w:end w:w="80" w:type="dxa"/>
            </w:tcMar>
            <w:shd w:fill="F2F6FA"/>
          </w:tcPr>
          <w:p>
            <w:pPr>
              <w:spacing w:after="0"/>
            </w:pPr>
            <w:r>
              <w:rPr>
                <w:rFonts w:ascii="Arial" w:hAnsi="Arial"/>
                <w:sz w:val="15"/>
              </w:rPr>
              <w:t>m² K W⁻¹</w:t>
            </w:r>
          </w:p>
        </w:tc>
        <w:tc>
          <w:tcPr>
            <w:tcW w:type="dxa" w:w="1224"/>
            <w:vAlign w:val="top"/>
            <w:tcMar>
              <w:top w:w="80" w:type="dxa"/>
              <w:start w:w="80" w:type="dxa"/>
              <w:bottom w:w="80" w:type="dxa"/>
              <w:end w:w="80" w:type="dxa"/>
            </w:tcMar>
            <w:shd w:fill="F2F6FA"/>
          </w:tcPr>
          <w:p>
            <w:pPr>
              <w:spacing w:after="0"/>
            </w:pPr>
            <w:r>
              <w:rPr>
                <w:rFonts w:ascii="Arial" w:hAnsi="Arial"/>
                <w:sz w:val="15"/>
              </w:rPr>
              <w:t>30, 33–35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Bf</w:t>
            </w:r>
          </w:p>
        </w:tc>
        <w:tc>
          <w:tcPr>
            <w:tcW w:type="dxa" w:w="5616"/>
            <w:vAlign w:val="top"/>
            <w:tcMar>
              <w:top w:w="80" w:type="dxa"/>
              <w:start w:w="80" w:type="dxa"/>
              <w:bottom w:w="80" w:type="dxa"/>
              <w:end w:w="80" w:type="dxa"/>
            </w:tcMar>
          </w:tcPr>
          <w:p>
            <w:pPr>
              <w:spacing w:after="0"/>
            </w:pPr>
            <w:r>
              <w:rPr>
                <w:rFonts w:ascii="Arial" w:hAnsi="Arial"/>
                <w:sz w:val="15"/>
              </w:rPr>
              <w:t>Fouling growth-rate coefficient</w:t>
            </w:r>
          </w:p>
        </w:tc>
        <w:tc>
          <w:tcPr>
            <w:tcW w:type="dxa" w:w="1728"/>
            <w:vAlign w:val="top"/>
            <w:tcMar>
              <w:top w:w="80" w:type="dxa"/>
              <w:start w:w="80" w:type="dxa"/>
              <w:bottom w:w="80" w:type="dxa"/>
              <w:end w:w="80" w:type="dxa"/>
            </w:tcMar>
          </w:tcPr>
          <w:p>
            <w:pPr>
              <w:spacing w:after="0"/>
            </w:pPr>
            <w:r>
              <w:rPr>
                <w:rFonts w:ascii="Arial" w:hAnsi="Arial"/>
                <w:sz w:val="15"/>
              </w:rPr>
              <w:t>day⁻¹</w:t>
            </w:r>
          </w:p>
        </w:tc>
        <w:tc>
          <w:tcPr>
            <w:tcW w:type="dxa" w:w="1224"/>
            <w:vAlign w:val="top"/>
            <w:tcMar>
              <w:top w:w="80" w:type="dxa"/>
              <w:start w:w="80" w:type="dxa"/>
              <w:bottom w:w="80" w:type="dxa"/>
              <w:end w:w="80" w:type="dxa"/>
            </w:tcMar>
          </w:tcPr>
          <w:p>
            <w:pPr>
              <w:spacing w:after="0"/>
            </w:pPr>
            <w:r>
              <w:rPr>
                <w:rFonts w:ascii="Arial" w:hAnsi="Arial"/>
                <w:sz w:val="15"/>
              </w:rPr>
              <w:t>30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Degradation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md,ₜ</w:t>
            </w:r>
          </w:p>
        </w:tc>
        <w:tc>
          <w:tcPr>
            <w:tcW w:type="dxa" w:w="5616"/>
            <w:vAlign w:val="top"/>
            <w:tcMar>
              <w:top w:w="80" w:type="dxa"/>
              <w:start w:w="80" w:type="dxa"/>
              <w:bottom w:w="80" w:type="dxa"/>
              <w:end w:w="80" w:type="dxa"/>
            </w:tcMar>
            <w:shd w:fill="F2F6FA"/>
          </w:tcPr>
          <w:p>
            <w:pPr>
              <w:spacing w:after="0"/>
            </w:pPr>
            <w:r>
              <w:rPr>
                <w:rFonts w:ascii="Arial" w:hAnsi="Arial"/>
                <w:sz w:val="15"/>
              </w:rPr>
              <w:t>Accumulated filter dust mass</w:t>
            </w:r>
          </w:p>
        </w:tc>
        <w:tc>
          <w:tcPr>
            <w:tcW w:type="dxa" w:w="1728"/>
            <w:vAlign w:val="top"/>
            <w:tcMar>
              <w:top w:w="80" w:type="dxa"/>
              <w:start w:w="80" w:type="dxa"/>
              <w:bottom w:w="80" w:type="dxa"/>
              <w:end w:w="80" w:type="dxa"/>
            </w:tcMar>
            <w:shd w:fill="F2F6FA"/>
          </w:tcPr>
          <w:p>
            <w:pPr>
              <w:spacing w:after="0"/>
            </w:pPr>
            <w:r>
              <w:rPr>
                <w:rFonts w:ascii="Arial" w:hAnsi="Arial"/>
                <w:sz w:val="15"/>
              </w:rPr>
              <w:t>kg</w:t>
            </w:r>
          </w:p>
        </w:tc>
        <w:tc>
          <w:tcPr>
            <w:tcW w:type="dxa" w:w="1224"/>
            <w:vAlign w:val="top"/>
            <w:tcMar>
              <w:top w:w="80" w:type="dxa"/>
              <w:start w:w="80" w:type="dxa"/>
              <w:bottom w:w="80" w:type="dxa"/>
              <w:end w:w="80" w:type="dxa"/>
            </w:tcMar>
            <w:shd w:fill="F2F6FA"/>
          </w:tcPr>
          <w:p>
            <w:pPr>
              <w:spacing w:after="0"/>
            </w:pPr>
            <w:r>
              <w:rPr>
                <w:rFonts w:ascii="Arial" w:hAnsi="Arial"/>
                <w:sz w:val="15"/>
              </w:rPr>
              <w:t>31–32, 58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ṁd</w:t>
            </w:r>
          </w:p>
        </w:tc>
        <w:tc>
          <w:tcPr>
            <w:tcW w:type="dxa" w:w="5616"/>
            <w:vAlign w:val="top"/>
            <w:tcMar>
              <w:top w:w="80" w:type="dxa"/>
              <w:start w:w="80" w:type="dxa"/>
              <w:bottom w:w="80" w:type="dxa"/>
              <w:end w:w="80" w:type="dxa"/>
            </w:tcMar>
          </w:tcPr>
          <w:p>
            <w:pPr>
              <w:spacing w:after="0"/>
            </w:pPr>
            <w:r>
              <w:rPr>
                <w:rFonts w:ascii="Arial" w:hAnsi="Arial"/>
                <w:sz w:val="15"/>
              </w:rPr>
              <w:t>Filter dust accumulation rate at unit airflow fraction</w:t>
            </w:r>
          </w:p>
        </w:tc>
        <w:tc>
          <w:tcPr>
            <w:tcW w:type="dxa" w:w="1728"/>
            <w:vAlign w:val="top"/>
            <w:tcMar>
              <w:top w:w="80" w:type="dxa"/>
              <w:start w:w="80" w:type="dxa"/>
              <w:bottom w:w="80" w:type="dxa"/>
              <w:end w:w="80" w:type="dxa"/>
            </w:tcMar>
          </w:tcPr>
          <w:p>
            <w:pPr>
              <w:spacing w:after="0"/>
            </w:pPr>
            <w:r>
              <w:rPr>
                <w:rFonts w:ascii="Arial" w:hAnsi="Arial"/>
                <w:sz w:val="15"/>
              </w:rPr>
              <w:t>kg day⁻¹</w:t>
            </w:r>
          </w:p>
        </w:tc>
        <w:tc>
          <w:tcPr>
            <w:tcW w:type="dxa" w:w="1224"/>
            <w:vAlign w:val="top"/>
            <w:tcMar>
              <w:top w:w="80" w:type="dxa"/>
              <w:start w:w="80" w:type="dxa"/>
              <w:bottom w:w="80" w:type="dxa"/>
              <w:end w:w="80" w:type="dxa"/>
            </w:tcMar>
          </w:tcPr>
          <w:p>
            <w:pPr>
              <w:spacing w:after="0"/>
            </w:pPr>
            <w:r>
              <w:rPr>
                <w:rFonts w:ascii="Arial" w:hAnsi="Arial"/>
                <w:sz w:val="15"/>
              </w:rPr>
              <w:t>31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Degradation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αₜ</w:t>
            </w:r>
          </w:p>
        </w:tc>
        <w:tc>
          <w:tcPr>
            <w:tcW w:type="dxa" w:w="5616"/>
            <w:vAlign w:val="top"/>
            <w:tcMar>
              <w:top w:w="80" w:type="dxa"/>
              <w:start w:w="80" w:type="dxa"/>
              <w:bottom w:w="80" w:type="dxa"/>
              <w:end w:w="80" w:type="dxa"/>
            </w:tcMar>
            <w:shd w:fill="F2F6FA"/>
          </w:tcPr>
          <w:p>
            <w:pPr>
              <w:spacing w:after="0"/>
            </w:pPr>
            <w:r>
              <w:rPr>
                <w:rFonts w:ascii="Arial" w:hAnsi="Arial"/>
                <w:sz w:val="15"/>
              </w:rPr>
              <w:t>Normalized airflow/control fraction</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31, 37–39, 45, 48, 52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ΔPₜ</w:t>
            </w:r>
          </w:p>
        </w:tc>
        <w:tc>
          <w:tcPr>
            <w:tcW w:type="dxa" w:w="5616"/>
            <w:vAlign w:val="top"/>
            <w:tcMar>
              <w:top w:w="80" w:type="dxa"/>
              <w:start w:w="80" w:type="dxa"/>
              <w:bottom w:w="80" w:type="dxa"/>
              <w:end w:w="80" w:type="dxa"/>
            </w:tcMar>
          </w:tcPr>
          <w:p>
            <w:pPr>
              <w:spacing w:after="0"/>
            </w:pPr>
            <w:r>
              <w:rPr>
                <w:rFonts w:ascii="Arial" w:hAnsi="Arial"/>
                <w:sz w:val="15"/>
              </w:rPr>
              <w:t>Filter/system air-side pressure drop used by the degradation model</w:t>
            </w:r>
          </w:p>
        </w:tc>
        <w:tc>
          <w:tcPr>
            <w:tcW w:type="dxa" w:w="1728"/>
            <w:vAlign w:val="top"/>
            <w:tcMar>
              <w:top w:w="80" w:type="dxa"/>
              <w:start w:w="80" w:type="dxa"/>
              <w:bottom w:w="80" w:type="dxa"/>
              <w:end w:w="80" w:type="dxa"/>
            </w:tcMar>
          </w:tcPr>
          <w:p>
            <w:pPr>
              <w:spacing w:after="0"/>
            </w:pPr>
            <w:r>
              <w:rPr>
                <w:rFonts w:ascii="Arial" w:hAnsi="Arial"/>
                <w:sz w:val="15"/>
              </w:rPr>
              <w:t>Pa</w:t>
            </w:r>
          </w:p>
        </w:tc>
        <w:tc>
          <w:tcPr>
            <w:tcW w:type="dxa" w:w="1224"/>
            <w:vAlign w:val="top"/>
            <w:tcMar>
              <w:top w:w="80" w:type="dxa"/>
              <w:start w:w="80" w:type="dxa"/>
              <w:bottom w:w="80" w:type="dxa"/>
              <w:end w:w="80" w:type="dxa"/>
            </w:tcMar>
          </w:tcPr>
          <w:p>
            <w:pPr>
              <w:spacing w:after="0"/>
            </w:pPr>
            <w:r>
              <w:rPr>
                <w:rFonts w:ascii="Arial" w:hAnsi="Arial"/>
                <w:sz w:val="15"/>
              </w:rPr>
              <w:t>32–33, 37, 39, 57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Degradation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ΔPclean</w:t>
            </w:r>
          </w:p>
        </w:tc>
        <w:tc>
          <w:tcPr>
            <w:tcW w:type="dxa" w:w="5616"/>
            <w:vAlign w:val="top"/>
            <w:tcMar>
              <w:top w:w="80" w:type="dxa"/>
              <w:start w:w="80" w:type="dxa"/>
              <w:bottom w:w="80" w:type="dxa"/>
              <w:end w:w="80" w:type="dxa"/>
            </w:tcMar>
            <w:shd w:fill="F2F6FA"/>
          </w:tcPr>
          <w:p>
            <w:pPr>
              <w:spacing w:after="0"/>
            </w:pPr>
            <w:r>
              <w:rPr>
                <w:rFonts w:ascii="Arial" w:hAnsi="Arial"/>
                <w:sz w:val="15"/>
              </w:rPr>
              <w:t>Clean-filter pressure drop</w:t>
            </w:r>
          </w:p>
        </w:tc>
        <w:tc>
          <w:tcPr>
            <w:tcW w:type="dxa" w:w="1728"/>
            <w:vAlign w:val="top"/>
            <w:tcMar>
              <w:top w:w="80" w:type="dxa"/>
              <w:start w:w="80" w:type="dxa"/>
              <w:bottom w:w="80" w:type="dxa"/>
              <w:end w:w="80" w:type="dxa"/>
            </w:tcMar>
            <w:shd w:fill="F2F6FA"/>
          </w:tcPr>
          <w:p>
            <w:pPr>
              <w:spacing w:after="0"/>
            </w:pPr>
            <w:r>
              <w:rPr>
                <w:rFonts w:ascii="Arial" w:hAnsi="Arial"/>
                <w:sz w:val="15"/>
              </w:rPr>
              <w:t>Pa</w:t>
            </w:r>
          </w:p>
        </w:tc>
        <w:tc>
          <w:tcPr>
            <w:tcW w:type="dxa" w:w="1224"/>
            <w:vAlign w:val="top"/>
            <w:tcMar>
              <w:top w:w="80" w:type="dxa"/>
              <w:start w:w="80" w:type="dxa"/>
              <w:bottom w:w="80" w:type="dxa"/>
              <w:end w:w="80" w:type="dxa"/>
            </w:tcMar>
            <w:shd w:fill="F2F6FA"/>
          </w:tcPr>
          <w:p>
            <w:pPr>
              <w:spacing w:after="0"/>
            </w:pPr>
            <w:r>
              <w:rPr>
                <w:rFonts w:ascii="Arial" w:hAnsi="Arial"/>
                <w:sz w:val="15"/>
              </w:rPr>
              <w:t>32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ΔPmax</w:t>
            </w:r>
          </w:p>
        </w:tc>
        <w:tc>
          <w:tcPr>
            <w:tcW w:type="dxa" w:w="5616"/>
            <w:vAlign w:val="top"/>
            <w:tcMar>
              <w:top w:w="80" w:type="dxa"/>
              <w:start w:w="80" w:type="dxa"/>
              <w:bottom w:w="80" w:type="dxa"/>
              <w:end w:w="80" w:type="dxa"/>
            </w:tcMar>
          </w:tcPr>
          <w:p>
            <w:pPr>
              <w:spacing w:after="0"/>
            </w:pPr>
            <w:r>
              <w:rPr>
                <w:rFonts w:ascii="Arial" w:hAnsi="Arial"/>
                <w:sz w:val="15"/>
              </w:rPr>
              <w:t>Maximum pressure-drop cap</w:t>
            </w:r>
          </w:p>
        </w:tc>
        <w:tc>
          <w:tcPr>
            <w:tcW w:type="dxa" w:w="1728"/>
            <w:vAlign w:val="top"/>
            <w:tcMar>
              <w:top w:w="80" w:type="dxa"/>
              <w:start w:w="80" w:type="dxa"/>
              <w:bottom w:w="80" w:type="dxa"/>
              <w:end w:w="80" w:type="dxa"/>
            </w:tcMar>
          </w:tcPr>
          <w:p>
            <w:pPr>
              <w:spacing w:after="0"/>
            </w:pPr>
            <w:r>
              <w:rPr>
                <w:rFonts w:ascii="Arial" w:hAnsi="Arial"/>
                <w:sz w:val="15"/>
              </w:rPr>
              <w:t>Pa</w:t>
            </w:r>
          </w:p>
        </w:tc>
        <w:tc>
          <w:tcPr>
            <w:tcW w:type="dxa" w:w="1224"/>
            <w:vAlign w:val="top"/>
            <w:tcMar>
              <w:top w:w="80" w:type="dxa"/>
              <w:start w:w="80" w:type="dxa"/>
              <w:bottom w:w="80" w:type="dxa"/>
              <w:end w:w="80" w:type="dxa"/>
            </w:tcMar>
          </w:tcPr>
          <w:p>
            <w:pPr>
              <w:spacing w:after="0"/>
            </w:pPr>
            <w:r>
              <w:rPr>
                <w:rFonts w:ascii="Arial" w:hAnsi="Arial"/>
                <w:sz w:val="15"/>
              </w:rPr>
              <w:t>32–33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Degradation model</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kclog</w:t>
            </w:r>
          </w:p>
        </w:tc>
        <w:tc>
          <w:tcPr>
            <w:tcW w:type="dxa" w:w="5616"/>
            <w:vAlign w:val="top"/>
            <w:tcMar>
              <w:top w:w="80" w:type="dxa"/>
              <w:start w:w="80" w:type="dxa"/>
              <w:bottom w:w="80" w:type="dxa"/>
              <w:end w:w="80" w:type="dxa"/>
            </w:tcMar>
            <w:shd w:fill="F2F6FA"/>
          </w:tcPr>
          <w:p>
            <w:pPr>
              <w:spacing w:after="0"/>
            </w:pPr>
            <w:r>
              <w:rPr>
                <w:rFonts w:ascii="Arial" w:hAnsi="Arial"/>
                <w:sz w:val="15"/>
              </w:rPr>
              <w:t>Pressure-drop increase per unit accumulated dust mass</w:t>
            </w:r>
          </w:p>
        </w:tc>
        <w:tc>
          <w:tcPr>
            <w:tcW w:type="dxa" w:w="1728"/>
            <w:vAlign w:val="top"/>
            <w:tcMar>
              <w:top w:w="80" w:type="dxa"/>
              <w:start w:w="80" w:type="dxa"/>
              <w:bottom w:w="80" w:type="dxa"/>
              <w:end w:w="80" w:type="dxa"/>
            </w:tcMar>
            <w:shd w:fill="F2F6FA"/>
          </w:tcPr>
          <w:p>
            <w:pPr>
              <w:spacing w:after="0"/>
            </w:pPr>
            <w:r>
              <w:rPr>
                <w:rFonts w:ascii="Arial" w:hAnsi="Arial"/>
                <w:sz w:val="15"/>
              </w:rPr>
              <w:t>Pa kg⁻¹</w:t>
            </w:r>
          </w:p>
        </w:tc>
        <w:tc>
          <w:tcPr>
            <w:tcW w:type="dxa" w:w="1224"/>
            <w:vAlign w:val="top"/>
            <w:tcMar>
              <w:top w:w="80" w:type="dxa"/>
              <w:start w:w="80" w:type="dxa"/>
              <w:bottom w:w="80" w:type="dxa"/>
              <w:end w:w="80" w:type="dxa"/>
            </w:tcMar>
            <w:shd w:fill="F2F6FA"/>
          </w:tcPr>
          <w:p>
            <w:pPr>
              <w:spacing w:after="0"/>
            </w:pPr>
            <w:r>
              <w:rPr>
                <w:rFonts w:ascii="Arial" w:hAnsi="Arial"/>
                <w:sz w:val="15"/>
              </w:rPr>
              <w:t>32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Degradation model</w:t>
            </w:r>
          </w:p>
        </w:tc>
        <w:tc>
          <w:tcPr>
            <w:tcW w:type="dxa" w:w="1800"/>
            <w:vAlign w:val="top"/>
            <w:tcMar>
              <w:top w:w="80" w:type="dxa"/>
              <w:start w:w="80" w:type="dxa"/>
              <w:bottom w:w="80" w:type="dxa"/>
              <w:end w:w="80" w:type="dxa"/>
            </w:tcMar>
          </w:tcPr>
          <w:p>
            <w:pPr>
              <w:spacing w:after="0"/>
            </w:pPr>
            <w:r>
              <w:rPr>
                <w:rFonts w:ascii="Cambria Math" w:hAnsi="Cambria Math"/>
                <w:sz w:val="15"/>
              </w:rPr>
              <w:t>δₜ</w:t>
            </w:r>
          </w:p>
        </w:tc>
        <w:tc>
          <w:tcPr>
            <w:tcW w:type="dxa" w:w="5616"/>
            <w:vAlign w:val="top"/>
            <w:tcMar>
              <w:top w:w="80" w:type="dxa"/>
              <w:start w:w="80" w:type="dxa"/>
              <w:bottom w:w="80" w:type="dxa"/>
              <w:end w:w="80" w:type="dxa"/>
            </w:tcMar>
          </w:tcPr>
          <w:p>
            <w:pPr>
              <w:spacing w:after="0"/>
            </w:pPr>
            <w:r>
              <w:rPr>
                <w:rFonts w:ascii="Arial" w:hAnsi="Arial"/>
                <w:sz w:val="15"/>
              </w:rPr>
              <w:t>Implemented composite degradation indicator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33, 40, 45, 49–51, 56–57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COPc,nom, COPh,nom</w:t>
            </w:r>
          </w:p>
        </w:tc>
        <w:tc>
          <w:tcPr>
            <w:tcW w:type="dxa" w:w="5616"/>
            <w:vAlign w:val="top"/>
            <w:tcMar>
              <w:top w:w="80" w:type="dxa"/>
              <w:start w:w="80" w:type="dxa"/>
              <w:bottom w:w="80" w:type="dxa"/>
              <w:end w:w="80" w:type="dxa"/>
            </w:tcMar>
            <w:shd w:fill="F2F6FA"/>
          </w:tcPr>
          <w:p>
            <w:pPr>
              <w:spacing w:after="0"/>
            </w:pPr>
            <w:r>
              <w:rPr>
                <w:rFonts w:ascii="Arial" w:hAnsi="Arial"/>
                <w:sz w:val="15"/>
              </w:rPr>
              <w:t>Nominal cooling and heating coefficients of performance</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34–35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COPc,ₜ, COPh,ₜ</w:t>
            </w:r>
          </w:p>
        </w:tc>
        <w:tc>
          <w:tcPr>
            <w:tcW w:type="dxa" w:w="5616"/>
            <w:vAlign w:val="top"/>
            <w:tcMar>
              <w:top w:w="80" w:type="dxa"/>
              <w:start w:w="80" w:type="dxa"/>
              <w:bottom w:w="80" w:type="dxa"/>
              <w:end w:w="80" w:type="dxa"/>
            </w:tcMar>
          </w:tcPr>
          <w:p>
            <w:pPr>
              <w:spacing w:after="0"/>
            </w:pPr>
            <w:r>
              <w:rPr>
                <w:rFonts w:ascii="Arial" w:hAnsi="Arial"/>
                <w:sz w:val="15"/>
              </w:rPr>
              <w:t>Degradation- and temperature-dependent cooling and heating COP</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34–36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kage</w:t>
            </w:r>
          </w:p>
        </w:tc>
        <w:tc>
          <w:tcPr>
            <w:tcW w:type="dxa" w:w="5616"/>
            <w:vAlign w:val="top"/>
            <w:tcMar>
              <w:top w:w="80" w:type="dxa"/>
              <w:start w:w="80" w:type="dxa"/>
              <w:bottom w:w="80" w:type="dxa"/>
              <w:end w:w="80" w:type="dxa"/>
            </w:tcMar>
            <w:shd w:fill="F2F6FA"/>
          </w:tcPr>
          <w:p>
            <w:pPr>
              <w:spacing w:after="0"/>
            </w:pPr>
            <w:r>
              <w:rPr>
                <w:rFonts w:ascii="Arial" w:hAnsi="Arial"/>
                <w:sz w:val="15"/>
              </w:rPr>
              <w:t>Annual COP-aging coefficient</w:t>
            </w:r>
          </w:p>
        </w:tc>
        <w:tc>
          <w:tcPr>
            <w:tcW w:type="dxa" w:w="1728"/>
            <w:vAlign w:val="top"/>
            <w:tcMar>
              <w:top w:w="80" w:type="dxa"/>
              <w:start w:w="80" w:type="dxa"/>
              <w:bottom w:w="80" w:type="dxa"/>
              <w:end w:w="80" w:type="dxa"/>
            </w:tcMar>
            <w:shd w:fill="F2F6FA"/>
          </w:tcPr>
          <w:p>
            <w:pPr>
              <w:spacing w:after="0"/>
            </w:pPr>
            <w:r>
              <w:rPr>
                <w:rFonts w:ascii="Arial" w:hAnsi="Arial"/>
                <w:sz w:val="15"/>
              </w:rPr>
              <w:t>year⁻¹</w:t>
            </w:r>
          </w:p>
        </w:tc>
        <w:tc>
          <w:tcPr>
            <w:tcW w:type="dxa" w:w="1224"/>
            <w:vAlign w:val="top"/>
            <w:tcMar>
              <w:top w:w="80" w:type="dxa"/>
              <w:start w:w="80" w:type="dxa"/>
              <w:bottom w:w="80" w:type="dxa"/>
              <w:end w:w="80" w:type="dxa"/>
            </w:tcMar>
            <w:shd w:fill="F2F6FA"/>
          </w:tcPr>
          <w:p>
            <w:pPr>
              <w:spacing w:after="0"/>
            </w:pPr>
            <w:r>
              <w:rPr>
                <w:rFonts w:ascii="Arial" w:hAnsi="Arial"/>
                <w:sz w:val="15"/>
              </w:rPr>
              <w:t>34–35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yₜ</w:t>
            </w:r>
          </w:p>
        </w:tc>
        <w:tc>
          <w:tcPr>
            <w:tcW w:type="dxa" w:w="5616"/>
            <w:vAlign w:val="top"/>
            <w:tcMar>
              <w:top w:w="80" w:type="dxa"/>
              <w:start w:w="80" w:type="dxa"/>
              <w:bottom w:w="80" w:type="dxa"/>
              <w:end w:w="80" w:type="dxa"/>
            </w:tcMar>
          </w:tcPr>
          <w:p>
            <w:pPr>
              <w:spacing w:after="0"/>
            </w:pPr>
            <w:r>
              <w:rPr>
                <w:rFonts w:ascii="Arial" w:hAnsi="Arial"/>
                <w:sz w:val="15"/>
              </w:rPr>
              <w:t>Elapsed simulated age</w:t>
            </w:r>
          </w:p>
        </w:tc>
        <w:tc>
          <w:tcPr>
            <w:tcW w:type="dxa" w:w="1728"/>
            <w:vAlign w:val="top"/>
            <w:tcMar>
              <w:top w:w="80" w:type="dxa"/>
              <w:start w:w="80" w:type="dxa"/>
              <w:bottom w:w="80" w:type="dxa"/>
              <w:end w:w="80" w:type="dxa"/>
            </w:tcMar>
          </w:tcPr>
          <w:p>
            <w:pPr>
              <w:spacing w:after="0"/>
            </w:pPr>
            <w:r>
              <w:rPr>
                <w:rFonts w:ascii="Arial" w:hAnsi="Arial"/>
                <w:sz w:val="15"/>
              </w:rPr>
              <w:t>year</w:t>
            </w:r>
          </w:p>
        </w:tc>
        <w:tc>
          <w:tcPr>
            <w:tcW w:type="dxa" w:w="1224"/>
            <w:vAlign w:val="top"/>
            <w:tcMar>
              <w:top w:w="80" w:type="dxa"/>
              <w:start w:w="80" w:type="dxa"/>
              <w:bottom w:w="80" w:type="dxa"/>
              <w:end w:w="80" w:type="dxa"/>
            </w:tcMar>
          </w:tcPr>
          <w:p>
            <w:pPr>
              <w:spacing w:after="0"/>
            </w:pPr>
            <w:r>
              <w:rPr>
                <w:rFonts w:ascii="Arial" w:hAnsi="Arial"/>
                <w:sz w:val="15"/>
              </w:rPr>
              <w:t>34–35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QHVAC,ₜ</w:t>
            </w:r>
          </w:p>
        </w:tc>
        <w:tc>
          <w:tcPr>
            <w:tcW w:type="dxa" w:w="5616"/>
            <w:vAlign w:val="top"/>
            <w:tcMar>
              <w:top w:w="80" w:type="dxa"/>
              <w:start w:w="80" w:type="dxa"/>
              <w:bottom w:w="80" w:type="dxa"/>
              <w:end w:w="80" w:type="dxa"/>
            </w:tcMar>
            <w:shd w:fill="F2F6FA"/>
          </w:tcPr>
          <w:p>
            <w:pPr>
              <w:spacing w:after="0"/>
            </w:pPr>
            <w:r>
              <w:rPr>
                <w:rFonts w:ascii="Arial" w:hAnsi="Arial"/>
                <w:sz w:val="15"/>
              </w:rPr>
              <w:t>Active thermal HVAC load under the selected mode</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36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COPₜ</w:t>
            </w:r>
          </w:p>
        </w:tc>
        <w:tc>
          <w:tcPr>
            <w:tcW w:type="dxa" w:w="5616"/>
            <w:vAlign w:val="top"/>
            <w:tcMar>
              <w:top w:w="80" w:type="dxa"/>
              <w:start w:w="80" w:type="dxa"/>
              <w:bottom w:w="80" w:type="dxa"/>
              <w:end w:w="80" w:type="dxa"/>
            </w:tcMar>
          </w:tcPr>
          <w:p>
            <w:pPr>
              <w:spacing w:after="0"/>
            </w:pPr>
            <w:r>
              <w:rPr>
                <w:rFonts w:ascii="Arial" w:hAnsi="Arial"/>
                <w:sz w:val="15"/>
              </w:rPr>
              <w:t>COP selected for the active HVAC mode</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PHVAC,ₜ</w:t>
            </w:r>
          </w:p>
        </w:tc>
        <w:tc>
          <w:tcPr>
            <w:tcW w:type="dxa" w:w="5616"/>
            <w:vAlign w:val="top"/>
            <w:tcMar>
              <w:top w:w="80" w:type="dxa"/>
              <w:start w:w="80" w:type="dxa"/>
              <w:bottom w:w="80" w:type="dxa"/>
              <w:end w:w="80" w:type="dxa"/>
            </w:tcMar>
            <w:shd w:fill="F2F6FA"/>
          </w:tcPr>
          <w:p>
            <w:pPr>
              <w:spacing w:after="0"/>
            </w:pPr>
            <w:r>
              <w:rPr>
                <w:rFonts w:ascii="Arial" w:hAnsi="Arial"/>
                <w:sz w:val="15"/>
              </w:rPr>
              <w:t>Thermal HVAC electrical power</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36, 43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ηfan</w:t>
            </w:r>
          </w:p>
        </w:tc>
        <w:tc>
          <w:tcPr>
            <w:tcW w:type="dxa" w:w="5616"/>
            <w:vAlign w:val="top"/>
            <w:tcMar>
              <w:top w:w="80" w:type="dxa"/>
              <w:start w:w="80" w:type="dxa"/>
              <w:bottom w:w="80" w:type="dxa"/>
              <w:end w:w="80" w:type="dxa"/>
            </w:tcMar>
          </w:tcPr>
          <w:p>
            <w:pPr>
              <w:spacing w:after="0"/>
            </w:pPr>
            <w:r>
              <w:rPr>
                <w:rFonts w:ascii="Arial" w:hAnsi="Arial"/>
                <w:sz w:val="15"/>
              </w:rPr>
              <w:t>Fan total efficiency</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37, 39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Pfan,raw,ₜ</w:t>
            </w:r>
          </w:p>
        </w:tc>
        <w:tc>
          <w:tcPr>
            <w:tcW w:type="dxa" w:w="5616"/>
            <w:vAlign w:val="top"/>
            <w:tcMar>
              <w:top w:w="80" w:type="dxa"/>
              <w:start w:w="80" w:type="dxa"/>
              <w:bottom w:w="80" w:type="dxa"/>
              <w:end w:w="80" w:type="dxa"/>
            </w:tcMar>
            <w:shd w:fill="F2F6FA"/>
          </w:tcPr>
          <w:p>
            <w:pPr>
              <w:spacing w:after="0"/>
            </w:pPr>
            <w:r>
              <w:rPr>
                <w:rFonts w:ascii="Arial" w:hAnsi="Arial"/>
                <w:sz w:val="15"/>
              </w:rPr>
              <w:t>Raw pressure-flow fan electrical power</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37, 39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rfan,ₜ</w:t>
            </w:r>
          </w:p>
        </w:tc>
        <w:tc>
          <w:tcPr>
            <w:tcW w:type="dxa" w:w="5616"/>
            <w:vAlign w:val="top"/>
            <w:tcMar>
              <w:top w:w="80" w:type="dxa"/>
              <w:start w:w="80" w:type="dxa"/>
              <w:bottom w:w="80" w:type="dxa"/>
              <w:end w:w="80" w:type="dxa"/>
            </w:tcMar>
          </w:tcPr>
          <w:p>
            <w:pPr>
              <w:spacing w:after="0"/>
            </w:pPr>
            <w:r>
              <w:rPr>
                <w:rFonts w:ascii="Arial" w:hAnsi="Arial"/>
                <w:sz w:val="15"/>
              </w:rPr>
              <w:t>Schedule-based fan runtime fraction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38–39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rmin</w:t>
            </w:r>
          </w:p>
        </w:tc>
        <w:tc>
          <w:tcPr>
            <w:tcW w:type="dxa" w:w="5616"/>
            <w:vAlign w:val="top"/>
            <w:tcMar>
              <w:top w:w="80" w:type="dxa"/>
              <w:start w:w="80" w:type="dxa"/>
              <w:bottom w:w="80" w:type="dxa"/>
              <w:end w:w="80" w:type="dxa"/>
            </w:tcMar>
            <w:shd w:fill="F2F6FA"/>
          </w:tcPr>
          <w:p>
            <w:pPr>
              <w:spacing w:after="0"/>
            </w:pPr>
            <w:r>
              <w:rPr>
                <w:rFonts w:ascii="Arial" w:hAnsi="Arial"/>
                <w:sz w:val="15"/>
              </w:rPr>
              <w:t>Minimum fan runtime fraction</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38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wocc, wHVAC</w:t>
            </w:r>
          </w:p>
        </w:tc>
        <w:tc>
          <w:tcPr>
            <w:tcW w:type="dxa" w:w="5616"/>
            <w:vAlign w:val="top"/>
            <w:tcMar>
              <w:top w:w="80" w:type="dxa"/>
              <w:start w:w="80" w:type="dxa"/>
              <w:bottom w:w="80" w:type="dxa"/>
              <w:end w:w="80" w:type="dxa"/>
            </w:tcMar>
          </w:tcPr>
          <w:p>
            <w:pPr>
              <w:spacing w:after="0"/>
            </w:pPr>
            <w:r>
              <w:rPr>
                <w:rFonts w:ascii="Arial" w:hAnsi="Arial"/>
                <w:sz w:val="15"/>
              </w:rPr>
              <w:t>Occupancy and HVAC-activity weights in the fan runtime model</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IHVAC,ₜ</w:t>
            </w:r>
          </w:p>
        </w:tc>
        <w:tc>
          <w:tcPr>
            <w:tcW w:type="dxa" w:w="5616"/>
            <w:vAlign w:val="top"/>
            <w:tcMar>
              <w:top w:w="80" w:type="dxa"/>
              <w:start w:w="80" w:type="dxa"/>
              <w:bottom w:w="80" w:type="dxa"/>
              <w:end w:w="80" w:type="dxa"/>
            </w:tcMar>
            <w:shd w:fill="F2F6FA"/>
          </w:tcPr>
          <w:p>
            <w:pPr>
              <w:spacing w:after="0"/>
            </w:pPr>
            <w:r>
              <w:rPr>
                <w:rFonts w:ascii="Arial" w:hAnsi="Arial"/>
                <w:sz w:val="15"/>
              </w:rPr>
              <w:t>Binary indicator of active thermal HVAC demand</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38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afan,m</w:t>
            </w:r>
          </w:p>
        </w:tc>
        <w:tc>
          <w:tcPr>
            <w:tcW w:type="dxa" w:w="5616"/>
            <w:vAlign w:val="top"/>
            <w:tcMar>
              <w:top w:w="80" w:type="dxa"/>
              <w:start w:w="80" w:type="dxa"/>
              <w:bottom w:w="80" w:type="dxa"/>
              <w:end w:w="80" w:type="dxa"/>
            </w:tcMar>
          </w:tcPr>
          <w:p>
            <w:pPr>
              <w:spacing w:after="0"/>
            </w:pPr>
            <w:r>
              <w:rPr>
                <w:rFonts w:ascii="Arial" w:hAnsi="Arial"/>
                <w:sz w:val="15"/>
              </w:rPr>
              <w:t>Month-specific fan availability factor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38</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αmin,fan</w:t>
            </w:r>
          </w:p>
        </w:tc>
        <w:tc>
          <w:tcPr>
            <w:tcW w:type="dxa" w:w="5616"/>
            <w:vAlign w:val="top"/>
            <w:tcMar>
              <w:top w:w="80" w:type="dxa"/>
              <w:start w:w="80" w:type="dxa"/>
              <w:bottom w:w="80" w:type="dxa"/>
              <w:end w:w="80" w:type="dxa"/>
            </w:tcMar>
            <w:shd w:fill="F2F6FA"/>
          </w:tcPr>
          <w:p>
            <w:pPr>
              <w:spacing w:after="0"/>
            </w:pPr>
            <w:r>
              <w:rPr>
                <w:rFonts w:ascii="Arial" w:hAnsi="Arial"/>
                <w:sz w:val="15"/>
              </w:rPr>
              <w:t>Minimum airflow fraction used by the schedule-based fan model</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38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αfloor,ₜ</w:t>
            </w:r>
          </w:p>
        </w:tc>
        <w:tc>
          <w:tcPr>
            <w:tcW w:type="dxa" w:w="5616"/>
            <w:vAlign w:val="top"/>
            <w:tcMar>
              <w:top w:w="80" w:type="dxa"/>
              <w:start w:w="80" w:type="dxa"/>
              <w:bottom w:w="80" w:type="dxa"/>
              <w:end w:w="80" w:type="dxa"/>
            </w:tcMar>
          </w:tcPr>
          <w:p>
            <w:pPr>
              <w:spacing w:after="0"/>
            </w:pPr>
            <w:r>
              <w:rPr>
                <w:rFonts w:ascii="Arial" w:hAnsi="Arial"/>
                <w:sz w:val="15"/>
              </w:rPr>
              <w:t>Airflow fraction after application of the fan airflow floor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38–39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Pfan,des,ₜ</w:t>
            </w:r>
          </w:p>
        </w:tc>
        <w:tc>
          <w:tcPr>
            <w:tcW w:type="dxa" w:w="5616"/>
            <w:vAlign w:val="top"/>
            <w:tcMar>
              <w:top w:w="80" w:type="dxa"/>
              <w:start w:w="80" w:type="dxa"/>
              <w:bottom w:w="80" w:type="dxa"/>
              <w:end w:w="80" w:type="dxa"/>
            </w:tcMar>
            <w:shd w:fill="F2F6FA"/>
          </w:tcPr>
          <w:p>
            <w:pPr>
              <w:spacing w:after="0"/>
            </w:pPr>
            <w:r>
              <w:rPr>
                <w:rFonts w:ascii="Arial" w:hAnsi="Arial"/>
                <w:sz w:val="15"/>
              </w:rPr>
              <w:t>Fan design power at the current pressure drop</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39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Pfan,sch,ₜ</w:t>
            </w:r>
          </w:p>
        </w:tc>
        <w:tc>
          <w:tcPr>
            <w:tcW w:type="dxa" w:w="5616"/>
            <w:vAlign w:val="top"/>
            <w:tcMar>
              <w:top w:w="80" w:type="dxa"/>
              <w:start w:w="80" w:type="dxa"/>
              <w:bottom w:w="80" w:type="dxa"/>
              <w:end w:w="80" w:type="dxa"/>
            </w:tcMar>
          </w:tcPr>
          <w:p>
            <w:pPr>
              <w:spacing w:after="0"/>
            </w:pPr>
            <w:r>
              <w:rPr>
                <w:rFonts w:ascii="Arial" w:hAnsi="Arial"/>
                <w:sz w:val="15"/>
              </w:rPr>
              <w:t>Schedule-based fan power floor</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39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Pfan,ₜ</w:t>
            </w:r>
          </w:p>
        </w:tc>
        <w:tc>
          <w:tcPr>
            <w:tcW w:type="dxa" w:w="5616"/>
            <w:vAlign w:val="top"/>
            <w:tcMar>
              <w:top w:w="80" w:type="dxa"/>
              <w:start w:w="80" w:type="dxa"/>
              <w:bottom w:w="80" w:type="dxa"/>
              <w:end w:w="80" w:type="dxa"/>
            </w:tcMar>
            <w:shd w:fill="F2F6FA"/>
          </w:tcPr>
          <w:p>
            <w:pPr>
              <w:spacing w:after="0"/>
            </w:pPr>
            <w:r>
              <w:rPr>
                <w:rFonts w:ascii="Arial" w:hAnsi="Arial"/>
                <w:sz w:val="15"/>
              </w:rPr>
              <w:t>Accepted fan electrical power</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39, 43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fop,ₜ</w:t>
            </w:r>
          </w:p>
        </w:tc>
        <w:tc>
          <w:tcPr>
            <w:tcW w:type="dxa" w:w="5616"/>
            <w:vAlign w:val="top"/>
            <w:tcMar>
              <w:top w:w="80" w:type="dxa"/>
              <w:start w:w="80" w:type="dxa"/>
              <w:bottom w:w="80" w:type="dxa"/>
              <w:end w:w="80" w:type="dxa"/>
            </w:tcMar>
          </w:tcPr>
          <w:p>
            <w:pPr>
              <w:spacing w:after="0"/>
            </w:pPr>
            <w:r>
              <w:rPr>
                <w:rFonts w:ascii="Arial" w:hAnsi="Arial"/>
                <w:sz w:val="15"/>
              </w:rPr>
              <w:t>Pump/auxiliary operating factor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HVAC performance and power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ppump,A, paux,A</w:t>
            </w:r>
          </w:p>
        </w:tc>
        <w:tc>
          <w:tcPr>
            <w:tcW w:type="dxa" w:w="5616"/>
            <w:vAlign w:val="top"/>
            <w:tcMar>
              <w:top w:w="80" w:type="dxa"/>
              <w:start w:w="80" w:type="dxa"/>
              <w:bottom w:w="80" w:type="dxa"/>
              <w:end w:w="80" w:type="dxa"/>
            </w:tcMar>
            <w:shd w:fill="F2F6FA"/>
          </w:tcPr>
          <w:p>
            <w:pPr>
              <w:spacing w:after="0"/>
            </w:pPr>
            <w:r>
              <w:rPr>
                <w:rFonts w:ascii="Arial" w:hAnsi="Arial"/>
                <w:sz w:val="15"/>
              </w:rPr>
              <w:t>Area-normalized pump and auxiliary power densities</w:t>
            </w:r>
          </w:p>
        </w:tc>
        <w:tc>
          <w:tcPr>
            <w:tcW w:type="dxa" w:w="1728"/>
            <w:vAlign w:val="top"/>
            <w:tcMar>
              <w:top w:w="80" w:type="dxa"/>
              <w:start w:w="80" w:type="dxa"/>
              <w:bottom w:w="80" w:type="dxa"/>
              <w:end w:w="80" w:type="dxa"/>
            </w:tcMar>
            <w:shd w:fill="F2F6FA"/>
          </w:tcPr>
          <w:p>
            <w:pPr>
              <w:spacing w:after="0"/>
            </w:pPr>
            <w:r>
              <w:rPr>
                <w:rFonts w:ascii="Arial" w:hAnsi="Arial"/>
                <w:sz w:val="15"/>
              </w:rPr>
              <w:t>W m⁻²</w:t>
            </w:r>
          </w:p>
        </w:tc>
        <w:tc>
          <w:tcPr>
            <w:tcW w:type="dxa" w:w="1224"/>
            <w:vAlign w:val="top"/>
            <w:tcMar>
              <w:top w:w="80" w:type="dxa"/>
              <w:start w:w="80" w:type="dxa"/>
              <w:bottom w:w="80" w:type="dxa"/>
              <w:end w:w="80" w:type="dxa"/>
            </w:tcMar>
            <w:shd w:fill="F2F6FA"/>
          </w:tcPr>
          <w:p>
            <w:pPr>
              <w:spacing w:after="0"/>
            </w:pPr>
            <w:r>
              <w:rPr>
                <w:rFonts w:ascii="Arial" w:hAnsi="Arial"/>
                <w:sz w:val="15"/>
              </w:rPr>
              <w:t>40</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HVAC performance and power</w:t>
            </w:r>
          </w:p>
        </w:tc>
        <w:tc>
          <w:tcPr>
            <w:tcW w:type="dxa" w:w="1800"/>
            <w:vAlign w:val="top"/>
            <w:tcMar>
              <w:top w:w="80" w:type="dxa"/>
              <w:start w:w="80" w:type="dxa"/>
              <w:bottom w:w="80" w:type="dxa"/>
              <w:end w:w="80" w:type="dxa"/>
            </w:tcMar>
          </w:tcPr>
          <w:p>
            <w:pPr>
              <w:spacing w:after="0"/>
            </w:pPr>
            <w:r>
              <w:rPr>
                <w:rFonts w:ascii="Cambria Math" w:hAnsi="Cambria Math"/>
                <w:sz w:val="15"/>
              </w:rPr>
              <w:t>Ppump,ₜ, Paux,ₜ</w:t>
            </w:r>
          </w:p>
        </w:tc>
        <w:tc>
          <w:tcPr>
            <w:tcW w:type="dxa" w:w="5616"/>
            <w:vAlign w:val="top"/>
            <w:tcMar>
              <w:top w:w="80" w:type="dxa"/>
              <w:start w:w="80" w:type="dxa"/>
              <w:bottom w:w="80" w:type="dxa"/>
              <w:end w:w="80" w:type="dxa"/>
            </w:tcMar>
          </w:tcPr>
          <w:p>
            <w:pPr>
              <w:spacing w:after="0"/>
            </w:pPr>
            <w:r>
              <w:rPr>
                <w:rFonts w:ascii="Arial" w:hAnsi="Arial"/>
                <w:sz w:val="15"/>
              </w:rPr>
              <w:t>Pump and auxiliary electrical powers</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40, 43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Fj,mraw</w:t>
            </w:r>
          </w:p>
        </w:tc>
        <w:tc>
          <w:tcPr>
            <w:tcW w:type="dxa" w:w="5616"/>
            <w:vAlign w:val="top"/>
            <w:tcMar>
              <w:top w:w="80" w:type="dxa"/>
              <w:start w:w="80" w:type="dxa"/>
              <w:bottom w:w="80" w:type="dxa"/>
              <w:end w:w="80" w:type="dxa"/>
            </w:tcMar>
            <w:shd w:fill="F2F6FA"/>
          </w:tcPr>
          <w:p>
            <w:pPr>
              <w:spacing w:after="0"/>
            </w:pPr>
            <w:r>
              <w:rPr>
                <w:rFonts w:ascii="Arial" w:hAnsi="Arial"/>
                <w:sz w:val="15"/>
              </w:rPr>
              <w:t>Raw month-specific calibration factor for component j</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λs</w:t>
            </w:r>
          </w:p>
        </w:tc>
        <w:tc>
          <w:tcPr>
            <w:tcW w:type="dxa" w:w="5616"/>
            <w:vAlign w:val="top"/>
            <w:tcMar>
              <w:top w:w="80" w:type="dxa"/>
              <w:start w:w="80" w:type="dxa"/>
              <w:bottom w:w="80" w:type="dxa"/>
              <w:end w:w="80" w:type="dxa"/>
            </w:tcMar>
          </w:tcPr>
          <w:p>
            <w:pPr>
              <w:spacing w:after="0"/>
            </w:pPr>
            <w:r>
              <w:rPr>
                <w:rFonts w:ascii="Arial" w:hAnsi="Arial"/>
                <w:sz w:val="15"/>
              </w:rPr>
              <w:t>Damping factor for monthly component calibration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Fmin, Fmax</w:t>
            </w:r>
          </w:p>
        </w:tc>
        <w:tc>
          <w:tcPr>
            <w:tcW w:type="dxa" w:w="5616"/>
            <w:vAlign w:val="top"/>
            <w:tcMar>
              <w:top w:w="80" w:type="dxa"/>
              <w:start w:w="80" w:type="dxa"/>
              <w:bottom w:w="80" w:type="dxa"/>
              <w:end w:w="80" w:type="dxa"/>
            </w:tcMar>
            <w:shd w:fill="F2F6FA"/>
          </w:tcPr>
          <w:p>
            <w:pPr>
              <w:spacing w:after="0"/>
            </w:pPr>
            <w:r>
              <w:rPr>
                <w:rFonts w:ascii="Arial" w:hAnsi="Arial"/>
                <w:sz w:val="15"/>
              </w:rPr>
              <w:t>Lower and upper monthly-factor bounds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Fj,m</w:t>
            </w:r>
          </w:p>
        </w:tc>
        <w:tc>
          <w:tcPr>
            <w:tcW w:type="dxa" w:w="5616"/>
            <w:vAlign w:val="top"/>
            <w:tcMar>
              <w:top w:w="80" w:type="dxa"/>
              <w:start w:w="80" w:type="dxa"/>
              <w:bottom w:w="80" w:type="dxa"/>
              <w:end w:w="80" w:type="dxa"/>
            </w:tcMar>
          </w:tcPr>
          <w:p>
            <w:pPr>
              <w:spacing w:after="0"/>
            </w:pPr>
            <w:r>
              <w:rPr>
                <w:rFonts w:ascii="Arial" w:hAnsi="Arial"/>
                <w:sz w:val="15"/>
              </w:rPr>
              <w:t>Damped and bounded monthly component factor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Gj,rraw</w:t>
            </w:r>
          </w:p>
        </w:tc>
        <w:tc>
          <w:tcPr>
            <w:tcW w:type="dxa" w:w="5616"/>
            <w:vAlign w:val="top"/>
            <w:tcMar>
              <w:top w:w="80" w:type="dxa"/>
              <w:start w:w="80" w:type="dxa"/>
              <w:bottom w:w="80" w:type="dxa"/>
              <w:end w:w="80" w:type="dxa"/>
            </w:tcMar>
            <w:shd w:fill="F2F6FA"/>
          </w:tcPr>
          <w:p>
            <w:pPr>
              <w:spacing w:after="0"/>
            </w:pPr>
            <w:r>
              <w:rPr>
                <w:rFonts w:ascii="Arial" w:hAnsi="Arial"/>
                <w:sz w:val="15"/>
              </w:rPr>
              <w:t>Raw operational-state factor for component j and regime r</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λo</w:t>
            </w:r>
          </w:p>
        </w:tc>
        <w:tc>
          <w:tcPr>
            <w:tcW w:type="dxa" w:w="5616"/>
            <w:vAlign w:val="top"/>
            <w:tcMar>
              <w:top w:w="80" w:type="dxa"/>
              <w:start w:w="80" w:type="dxa"/>
              <w:bottom w:w="80" w:type="dxa"/>
              <w:end w:w="80" w:type="dxa"/>
            </w:tcMar>
          </w:tcPr>
          <w:p>
            <w:pPr>
              <w:spacing w:after="0"/>
            </w:pPr>
            <w:r>
              <w:rPr>
                <w:rFonts w:ascii="Arial" w:hAnsi="Arial"/>
                <w:sz w:val="15"/>
              </w:rPr>
              <w:t>Damping factor for operational-state correction</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Gmin, Gmax</w:t>
            </w:r>
          </w:p>
        </w:tc>
        <w:tc>
          <w:tcPr>
            <w:tcW w:type="dxa" w:w="5616"/>
            <w:vAlign w:val="top"/>
            <w:tcMar>
              <w:top w:w="80" w:type="dxa"/>
              <w:start w:w="80" w:type="dxa"/>
              <w:bottom w:w="80" w:type="dxa"/>
              <w:end w:w="80" w:type="dxa"/>
            </w:tcMar>
            <w:shd w:fill="F2F6FA"/>
          </w:tcPr>
          <w:p>
            <w:pPr>
              <w:spacing w:after="0"/>
            </w:pPr>
            <w:r>
              <w:rPr>
                <w:rFonts w:ascii="Arial" w:hAnsi="Arial"/>
                <w:sz w:val="15"/>
              </w:rPr>
              <w:t>Lower and upper operational-state-factor bounds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Gj,rₜ</w:t>
            </w:r>
          </w:p>
        </w:tc>
        <w:tc>
          <w:tcPr>
            <w:tcW w:type="dxa" w:w="5616"/>
            <w:vAlign w:val="top"/>
            <w:tcMar>
              <w:top w:w="80" w:type="dxa"/>
              <w:start w:w="80" w:type="dxa"/>
              <w:bottom w:w="80" w:type="dxa"/>
              <w:end w:w="80" w:type="dxa"/>
            </w:tcMar>
          </w:tcPr>
          <w:p>
            <w:pPr>
              <w:spacing w:after="0"/>
            </w:pPr>
            <w:r>
              <w:rPr>
                <w:rFonts w:ascii="Arial" w:hAnsi="Arial"/>
                <w:sz w:val="15"/>
              </w:rPr>
              <w:t>Damped and bounded operational-state factor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42</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Ptot,ₜ</w:t>
            </w:r>
          </w:p>
        </w:tc>
        <w:tc>
          <w:tcPr>
            <w:tcW w:type="dxa" w:w="5616"/>
            <w:vAlign w:val="top"/>
            <w:tcMar>
              <w:top w:w="80" w:type="dxa"/>
              <w:start w:w="80" w:type="dxa"/>
              <w:bottom w:w="80" w:type="dxa"/>
              <w:end w:w="80" w:type="dxa"/>
            </w:tcMar>
            <w:shd w:fill="F2F6FA"/>
          </w:tcPr>
          <w:p>
            <w:pPr>
              <w:spacing w:after="0"/>
            </w:pPr>
            <w:r>
              <w:rPr>
                <w:rFonts w:ascii="Arial" w:hAnsi="Arial"/>
                <w:sz w:val="15"/>
              </w:rPr>
              <w:t>Final total electrical power</w:t>
            </w:r>
          </w:p>
        </w:tc>
        <w:tc>
          <w:tcPr>
            <w:tcW w:type="dxa" w:w="1728"/>
            <w:vAlign w:val="top"/>
            <w:tcMar>
              <w:top w:w="80" w:type="dxa"/>
              <w:start w:w="80" w:type="dxa"/>
              <w:bottom w:w="80" w:type="dxa"/>
              <w:end w:w="80" w:type="dxa"/>
            </w:tcMar>
            <w:shd w:fill="F2F6FA"/>
          </w:tcPr>
          <w:p>
            <w:pPr>
              <w:spacing w:after="0"/>
            </w:pPr>
            <w:r>
              <w:rPr>
                <w:rFonts w:ascii="Arial" w:hAnsi="Arial"/>
                <w:sz w:val="15"/>
              </w:rPr>
              <w:t>kW</w:t>
            </w:r>
          </w:p>
        </w:tc>
        <w:tc>
          <w:tcPr>
            <w:tcW w:type="dxa" w:w="1224"/>
            <w:vAlign w:val="top"/>
            <w:tcMar>
              <w:top w:w="80" w:type="dxa"/>
              <w:start w:w="80" w:type="dxa"/>
              <w:bottom w:w="80" w:type="dxa"/>
              <w:end w:w="80" w:type="dxa"/>
            </w:tcMar>
            <w:shd w:fill="F2F6FA"/>
          </w:tcPr>
          <w:p>
            <w:pPr>
              <w:spacing w:after="0"/>
            </w:pPr>
            <w:r>
              <w:rPr>
                <w:rFonts w:ascii="Arial" w:hAnsi="Arial"/>
                <w:sz w:val="15"/>
              </w:rPr>
              <w:t>43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Eₜ</w:t>
            </w:r>
          </w:p>
        </w:tc>
        <w:tc>
          <w:tcPr>
            <w:tcW w:type="dxa" w:w="5616"/>
            <w:vAlign w:val="top"/>
            <w:tcMar>
              <w:top w:w="80" w:type="dxa"/>
              <w:start w:w="80" w:type="dxa"/>
              <w:bottom w:w="80" w:type="dxa"/>
              <w:end w:w="80" w:type="dxa"/>
            </w:tcMar>
          </w:tcPr>
          <w:p>
            <w:pPr>
              <w:spacing w:after="0"/>
            </w:pPr>
            <w:r>
              <w:rPr>
                <w:rFonts w:ascii="Arial" w:hAnsi="Arial"/>
                <w:sz w:val="15"/>
              </w:rPr>
              <w:t>Electrical energy consumed during one simulation period</w:t>
            </w:r>
          </w:p>
        </w:tc>
        <w:tc>
          <w:tcPr>
            <w:tcW w:type="dxa" w:w="1728"/>
            <w:vAlign w:val="top"/>
            <w:tcMar>
              <w:top w:w="80" w:type="dxa"/>
              <w:start w:w="80" w:type="dxa"/>
              <w:bottom w:w="80" w:type="dxa"/>
              <w:end w:w="80" w:type="dxa"/>
            </w:tcMar>
          </w:tcPr>
          <w:p>
            <w:pPr>
              <w:spacing w:after="0"/>
            </w:pPr>
            <w:r>
              <w:rPr>
                <w:rFonts w:ascii="Arial" w:hAnsi="Arial"/>
                <w:sz w:val="15"/>
              </w:rPr>
              <w:t>kWh</w:t>
            </w:r>
          </w:p>
        </w:tc>
        <w:tc>
          <w:tcPr>
            <w:tcW w:type="dxa" w:w="1224"/>
            <w:vAlign w:val="top"/>
            <w:tcMar>
              <w:top w:w="80" w:type="dxa"/>
              <w:start w:w="80" w:type="dxa"/>
              <w:bottom w:w="80" w:type="dxa"/>
              <w:end w:w="80" w:type="dxa"/>
            </w:tcMar>
          </w:tcPr>
          <w:p>
            <w:pPr>
              <w:spacing w:after="0"/>
            </w:pPr>
            <w:r>
              <w:rPr>
                <w:rFonts w:ascii="Arial" w:hAnsi="Arial"/>
                <w:sz w:val="15"/>
              </w:rPr>
              <w:t>43–44, 49, 59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MCO₂,ₜ</w:t>
            </w:r>
          </w:p>
        </w:tc>
        <w:tc>
          <w:tcPr>
            <w:tcW w:type="dxa" w:w="5616"/>
            <w:vAlign w:val="top"/>
            <w:tcMar>
              <w:top w:w="80" w:type="dxa"/>
              <w:start w:w="80" w:type="dxa"/>
              <w:bottom w:w="80" w:type="dxa"/>
              <w:end w:w="80" w:type="dxa"/>
            </w:tcMar>
            <w:shd w:fill="F2F6FA"/>
          </w:tcPr>
          <w:p>
            <w:pPr>
              <w:spacing w:after="0"/>
            </w:pPr>
            <w:r>
              <w:rPr>
                <w:rFonts w:ascii="Arial" w:hAnsi="Arial"/>
                <w:sz w:val="15"/>
              </w:rPr>
              <w:t>Operational carbon emissions associated with electricity use</w:t>
            </w:r>
          </w:p>
        </w:tc>
        <w:tc>
          <w:tcPr>
            <w:tcW w:type="dxa" w:w="1728"/>
            <w:vAlign w:val="top"/>
            <w:tcMar>
              <w:top w:w="80" w:type="dxa"/>
              <w:start w:w="80" w:type="dxa"/>
              <w:bottom w:w="80" w:type="dxa"/>
              <w:end w:w="80" w:type="dxa"/>
            </w:tcMar>
            <w:shd w:fill="F2F6FA"/>
          </w:tcPr>
          <w:p>
            <w:pPr>
              <w:spacing w:after="0"/>
            </w:pPr>
            <w:r>
              <w:rPr>
                <w:rFonts w:ascii="Arial" w:hAnsi="Arial"/>
                <w:sz w:val="15"/>
              </w:rPr>
              <w:t>kg CO₂e</w:t>
            </w:r>
          </w:p>
        </w:tc>
        <w:tc>
          <w:tcPr>
            <w:tcW w:type="dxa" w:w="1224"/>
            <w:vAlign w:val="top"/>
            <w:tcMar>
              <w:top w:w="80" w:type="dxa"/>
              <w:start w:w="80" w:type="dxa"/>
              <w:bottom w:w="80" w:type="dxa"/>
              <w:end w:w="80" w:type="dxa"/>
            </w:tcMar>
            <w:shd w:fill="F2F6FA"/>
          </w:tcPr>
          <w:p>
            <w:pPr>
              <w:spacing w:after="0"/>
            </w:pPr>
            <w:r>
              <w:rPr>
                <w:rFonts w:ascii="Arial" w:hAnsi="Arial"/>
                <w:sz w:val="15"/>
              </w:rPr>
              <w:t>44, 49, 51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Corrections, energy, and carbon</w:t>
            </w:r>
          </w:p>
        </w:tc>
        <w:tc>
          <w:tcPr>
            <w:tcW w:type="dxa" w:w="1800"/>
            <w:vAlign w:val="top"/>
            <w:tcMar>
              <w:top w:w="80" w:type="dxa"/>
              <w:start w:w="80" w:type="dxa"/>
              <w:bottom w:w="80" w:type="dxa"/>
              <w:end w:w="80" w:type="dxa"/>
            </w:tcMar>
          </w:tcPr>
          <w:p>
            <w:pPr>
              <w:spacing w:after="0"/>
            </w:pPr>
            <w:r>
              <w:rPr>
                <w:rFonts w:ascii="Cambria Math" w:hAnsi="Cambria Math"/>
                <w:sz w:val="15"/>
              </w:rPr>
              <w:t>EFgrid</w:t>
            </w:r>
          </w:p>
        </w:tc>
        <w:tc>
          <w:tcPr>
            <w:tcW w:type="dxa" w:w="5616"/>
            <w:vAlign w:val="top"/>
            <w:tcMar>
              <w:top w:w="80" w:type="dxa"/>
              <w:start w:w="80" w:type="dxa"/>
              <w:bottom w:w="80" w:type="dxa"/>
              <w:end w:w="80" w:type="dxa"/>
            </w:tcMar>
          </w:tcPr>
          <w:p>
            <w:pPr>
              <w:spacing w:after="0"/>
            </w:pPr>
            <w:r>
              <w:rPr>
                <w:rFonts w:ascii="Arial" w:hAnsi="Arial"/>
                <w:sz w:val="15"/>
              </w:rPr>
              <w:t>Electricity-grid emission factor</w:t>
            </w:r>
          </w:p>
        </w:tc>
        <w:tc>
          <w:tcPr>
            <w:tcW w:type="dxa" w:w="1728"/>
            <w:vAlign w:val="top"/>
            <w:tcMar>
              <w:top w:w="80" w:type="dxa"/>
              <w:start w:w="80" w:type="dxa"/>
              <w:bottom w:w="80" w:type="dxa"/>
              <w:end w:w="80" w:type="dxa"/>
            </w:tcMar>
          </w:tcPr>
          <w:p>
            <w:pPr>
              <w:spacing w:after="0"/>
            </w:pPr>
            <w:r>
              <w:rPr>
                <w:rFonts w:ascii="Arial" w:hAnsi="Arial"/>
                <w:sz w:val="15"/>
              </w:rPr>
              <w:t>kg CO₂e kWh⁻¹</w:t>
            </w:r>
          </w:p>
        </w:tc>
        <w:tc>
          <w:tcPr>
            <w:tcW w:type="dxa" w:w="1224"/>
            <w:vAlign w:val="top"/>
            <w:tcMar>
              <w:top w:w="80" w:type="dxa"/>
              <w:start w:w="80" w:type="dxa"/>
              <w:bottom w:w="80" w:type="dxa"/>
              <w:end w:w="80" w:type="dxa"/>
            </w:tcMar>
          </w:tcPr>
          <w:p>
            <w:pPr>
              <w:spacing w:after="0"/>
            </w:pPr>
            <w:r>
              <w:rPr>
                <w:rFonts w:ascii="Arial" w:hAnsi="Arial"/>
                <w:sz w:val="15"/>
              </w:rPr>
              <w:t>44, 49, 51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Comfort indicator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Tz,ind,ₜ</w:t>
            </w:r>
          </w:p>
        </w:tc>
        <w:tc>
          <w:tcPr>
            <w:tcW w:type="dxa" w:w="5616"/>
            <w:vAlign w:val="top"/>
            <w:tcMar>
              <w:top w:w="80" w:type="dxa"/>
              <w:start w:w="80" w:type="dxa"/>
              <w:bottom w:w="80" w:type="dxa"/>
              <w:end w:w="80" w:type="dxa"/>
            </w:tcMar>
            <w:shd w:fill="F2F6FA"/>
          </w:tcPr>
          <w:p>
            <w:pPr>
              <w:spacing w:after="0"/>
            </w:pPr>
            <w:r>
              <w:rPr>
                <w:rFonts w:ascii="Arial" w:hAnsi="Arial"/>
                <w:sz w:val="15"/>
              </w:rPr>
              <w:t>Empirical zone-temperature indicator used by the current objective</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45, 47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Comfort indicator</w:t>
            </w:r>
          </w:p>
        </w:tc>
        <w:tc>
          <w:tcPr>
            <w:tcW w:type="dxa" w:w="1800"/>
            <w:vAlign w:val="top"/>
            <w:tcMar>
              <w:top w:w="80" w:type="dxa"/>
              <w:start w:w="80" w:type="dxa"/>
              <w:bottom w:w="80" w:type="dxa"/>
              <w:end w:w="80" w:type="dxa"/>
            </w:tcMar>
          </w:tcPr>
          <w:p>
            <w:pPr>
              <w:spacing w:after="0"/>
            </w:pPr>
            <w:r>
              <w:rPr>
                <w:rFonts w:ascii="Cambria Math" w:hAnsi="Cambria Math"/>
                <w:sz w:val="15"/>
              </w:rPr>
              <w:t>kRH,c</w:t>
            </w:r>
          </w:p>
        </w:tc>
        <w:tc>
          <w:tcPr>
            <w:tcW w:type="dxa" w:w="5616"/>
            <w:vAlign w:val="top"/>
            <w:tcMar>
              <w:top w:w="80" w:type="dxa"/>
              <w:start w:w="80" w:type="dxa"/>
              <w:bottom w:w="80" w:type="dxa"/>
              <w:end w:w="80" w:type="dxa"/>
            </w:tcMar>
          </w:tcPr>
          <w:p>
            <w:pPr>
              <w:spacing w:after="0"/>
            </w:pPr>
            <w:r>
              <w:rPr>
                <w:rFonts w:ascii="Arial" w:hAnsi="Arial"/>
                <w:sz w:val="15"/>
              </w:rPr>
              <w:t>Humidity contribution coefficient in the empirical comfort indicator</w:t>
            </w:r>
          </w:p>
        </w:tc>
        <w:tc>
          <w:tcPr>
            <w:tcW w:type="dxa" w:w="1728"/>
            <w:vAlign w:val="top"/>
            <w:tcMar>
              <w:top w:w="80" w:type="dxa"/>
              <w:start w:w="80" w:type="dxa"/>
              <w:bottom w:w="80" w:type="dxa"/>
              <w:end w:w="80" w:type="dxa"/>
            </w:tcMar>
          </w:tcPr>
          <w:p>
            <w:pPr>
              <w:spacing w:after="0"/>
            </w:pPr>
            <w:r>
              <w:rPr>
                <w:rFonts w:ascii="Arial" w:hAnsi="Arial"/>
                <w:sz w:val="15"/>
              </w:rPr>
              <w:t>°C %-point⁻¹</w:t>
            </w:r>
          </w:p>
        </w:tc>
        <w:tc>
          <w:tcPr>
            <w:tcW w:type="dxa" w:w="1224"/>
            <w:vAlign w:val="top"/>
            <w:tcMar>
              <w:top w:w="80" w:type="dxa"/>
              <w:start w:w="80" w:type="dxa"/>
              <w:bottom w:w="80" w:type="dxa"/>
              <w:end w:w="80" w:type="dxa"/>
            </w:tcMar>
          </w:tcPr>
          <w:p>
            <w:pPr>
              <w:spacing w:after="0"/>
            </w:pPr>
            <w:r>
              <w:rPr>
                <w:rFonts w:ascii="Arial" w:hAnsi="Arial"/>
                <w:sz w:val="15"/>
              </w:rPr>
              <w:t>45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Comfort indicator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Pcap,ₜ</w:t>
            </w:r>
          </w:p>
        </w:tc>
        <w:tc>
          <w:tcPr>
            <w:tcW w:type="dxa" w:w="5616"/>
            <w:vAlign w:val="top"/>
            <w:tcMar>
              <w:top w:w="80" w:type="dxa"/>
              <w:start w:w="80" w:type="dxa"/>
              <w:bottom w:w="80" w:type="dxa"/>
              <w:end w:w="80" w:type="dxa"/>
            </w:tcMar>
            <w:shd w:fill="F2F6FA"/>
          </w:tcPr>
          <w:p>
            <w:pPr>
              <w:spacing w:after="0"/>
            </w:pPr>
            <w:r>
              <w:rPr>
                <w:rFonts w:ascii="Arial" w:hAnsi="Arial"/>
                <w:sz w:val="15"/>
              </w:rPr>
              <w:t>Empirical unmet-capacity temperature penalty</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45–46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Comfort indicator</w:t>
            </w:r>
          </w:p>
        </w:tc>
        <w:tc>
          <w:tcPr>
            <w:tcW w:type="dxa" w:w="1800"/>
            <w:vAlign w:val="top"/>
            <w:tcMar>
              <w:top w:w="80" w:type="dxa"/>
              <w:start w:w="80" w:type="dxa"/>
              <w:bottom w:w="80" w:type="dxa"/>
              <w:end w:w="80" w:type="dxa"/>
            </w:tcMar>
          </w:tcPr>
          <w:p>
            <w:pPr>
              <w:spacing w:after="0"/>
            </w:pPr>
            <w:r>
              <w:rPr>
                <w:rFonts w:ascii="Cambria Math" w:hAnsi="Cambria Math"/>
                <w:sz w:val="15"/>
              </w:rPr>
              <w:t>Qunmet,ₜ</w:t>
            </w:r>
          </w:p>
        </w:tc>
        <w:tc>
          <w:tcPr>
            <w:tcW w:type="dxa" w:w="5616"/>
            <w:vAlign w:val="top"/>
            <w:tcMar>
              <w:top w:w="80" w:type="dxa"/>
              <w:start w:w="80" w:type="dxa"/>
              <w:bottom w:w="80" w:type="dxa"/>
              <w:end w:w="80" w:type="dxa"/>
            </w:tcMar>
          </w:tcPr>
          <w:p>
            <w:pPr>
              <w:spacing w:after="0"/>
            </w:pPr>
            <w:r>
              <w:rPr>
                <w:rFonts w:ascii="Arial" w:hAnsi="Arial"/>
                <w:sz w:val="15"/>
              </w:rPr>
              <w:t>Thermal load exceeding available HVAC capacity</w:t>
            </w:r>
          </w:p>
        </w:tc>
        <w:tc>
          <w:tcPr>
            <w:tcW w:type="dxa" w:w="1728"/>
            <w:vAlign w:val="top"/>
            <w:tcMar>
              <w:top w:w="80" w:type="dxa"/>
              <w:start w:w="80" w:type="dxa"/>
              <w:bottom w:w="80" w:type="dxa"/>
              <w:end w:w="80" w:type="dxa"/>
            </w:tcMar>
          </w:tcPr>
          <w:p>
            <w:pPr>
              <w:spacing w:after="0"/>
            </w:pPr>
            <w:r>
              <w:rPr>
                <w:rFonts w:ascii="Arial" w:hAnsi="Arial"/>
                <w:sz w:val="15"/>
              </w:rPr>
              <w:t>kW</w:t>
            </w:r>
          </w:p>
        </w:tc>
        <w:tc>
          <w:tcPr>
            <w:tcW w:type="dxa" w:w="1224"/>
            <w:vAlign w:val="top"/>
            <w:tcMar>
              <w:top w:w="80" w:type="dxa"/>
              <w:start w:w="80" w:type="dxa"/>
              <w:bottom w:w="80" w:type="dxa"/>
              <w:end w:w="80" w:type="dxa"/>
            </w:tcMar>
          </w:tcPr>
          <w:p>
            <w:pPr>
              <w:spacing w:after="0"/>
            </w:pPr>
            <w:r>
              <w:rPr>
                <w:rFonts w:ascii="Arial" w:hAnsi="Arial"/>
                <w:sz w:val="15"/>
              </w:rPr>
              <w:t>46</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Comfort indicator</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Tset</w:t>
            </w:r>
          </w:p>
        </w:tc>
        <w:tc>
          <w:tcPr>
            <w:tcW w:type="dxa" w:w="5616"/>
            <w:vAlign w:val="top"/>
            <w:tcMar>
              <w:top w:w="80" w:type="dxa"/>
              <w:start w:w="80" w:type="dxa"/>
              <w:bottom w:w="80" w:type="dxa"/>
              <w:end w:w="80" w:type="dxa"/>
            </w:tcMar>
            <w:shd w:fill="F2F6FA"/>
          </w:tcPr>
          <w:p>
            <w:pPr>
              <w:spacing w:after="0"/>
            </w:pPr>
            <w:r>
              <w:rPr>
                <w:rFonts w:ascii="Arial" w:hAnsi="Arial"/>
                <w:sz w:val="15"/>
              </w:rPr>
              <w:t>Nominal comfort reference temperature</w:t>
            </w:r>
          </w:p>
        </w:tc>
        <w:tc>
          <w:tcPr>
            <w:tcW w:type="dxa" w:w="1728"/>
            <w:vAlign w:val="top"/>
            <w:tcMar>
              <w:top w:w="80" w:type="dxa"/>
              <w:start w:w="80" w:type="dxa"/>
              <w:bottom w:w="80" w:type="dxa"/>
              <w:end w:w="80" w:type="dxa"/>
            </w:tcMar>
            <w:shd w:fill="F2F6FA"/>
          </w:tcPr>
          <w:p>
            <w:pPr>
              <w:spacing w:after="0"/>
            </w:pPr>
            <w:r>
              <w:rPr>
                <w:rFonts w:ascii="Arial" w:hAnsi="Arial"/>
                <w:sz w:val="15"/>
              </w:rPr>
              <w:t>°C</w:t>
            </w:r>
          </w:p>
        </w:tc>
        <w:tc>
          <w:tcPr>
            <w:tcW w:type="dxa" w:w="1224"/>
            <w:vAlign w:val="top"/>
            <w:tcMar>
              <w:top w:w="80" w:type="dxa"/>
              <w:start w:w="80" w:type="dxa"/>
              <w:bottom w:w="80" w:type="dxa"/>
              <w:end w:w="80" w:type="dxa"/>
            </w:tcMar>
            <w:shd w:fill="F2F6FA"/>
          </w:tcPr>
          <w:p>
            <w:pPr>
              <w:spacing w:after="0"/>
            </w:pPr>
            <w:r>
              <w:rPr>
                <w:rFonts w:ascii="Arial" w:hAnsi="Arial"/>
                <w:sz w:val="15"/>
              </w:rPr>
              <w:t>47, 52</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Comfort indicator</w:t>
            </w:r>
          </w:p>
        </w:tc>
        <w:tc>
          <w:tcPr>
            <w:tcW w:type="dxa" w:w="1800"/>
            <w:vAlign w:val="top"/>
            <w:tcMar>
              <w:top w:w="80" w:type="dxa"/>
              <w:start w:w="80" w:type="dxa"/>
              <w:bottom w:w="80" w:type="dxa"/>
              <w:end w:w="80" w:type="dxa"/>
            </w:tcMar>
          </w:tcPr>
          <w:p>
            <w:pPr>
              <w:spacing w:after="0"/>
            </w:pPr>
            <w:r>
              <w:rPr>
                <w:rFonts w:ascii="Cambria Math" w:hAnsi="Cambria Math"/>
                <w:sz w:val="15"/>
              </w:rPr>
              <w:t>DT,ₜ</w:t>
            </w:r>
          </w:p>
        </w:tc>
        <w:tc>
          <w:tcPr>
            <w:tcW w:type="dxa" w:w="5616"/>
            <w:vAlign w:val="top"/>
            <w:tcMar>
              <w:top w:w="80" w:type="dxa"/>
              <w:start w:w="80" w:type="dxa"/>
              <w:bottom w:w="80" w:type="dxa"/>
              <w:end w:w="80" w:type="dxa"/>
            </w:tcMar>
          </w:tcPr>
          <w:p>
            <w:pPr>
              <w:spacing w:after="0"/>
            </w:pPr>
            <w:r>
              <w:rPr>
                <w:rFonts w:ascii="Arial" w:hAnsi="Arial"/>
                <w:sz w:val="15"/>
              </w:rPr>
              <w:t>Absolute empirical comfort deviation</w:t>
            </w:r>
          </w:p>
        </w:tc>
        <w:tc>
          <w:tcPr>
            <w:tcW w:type="dxa" w:w="1728"/>
            <w:vAlign w:val="top"/>
            <w:tcMar>
              <w:top w:w="80" w:type="dxa"/>
              <w:start w:w="80" w:type="dxa"/>
              <w:bottom w:w="80" w:type="dxa"/>
              <w:end w:w="80" w:type="dxa"/>
            </w:tcMar>
          </w:tcPr>
          <w:p>
            <w:pPr>
              <w:spacing w:after="0"/>
            </w:pPr>
            <w:r>
              <w:rPr>
                <w:rFonts w:ascii="Arial" w:hAnsi="Arial"/>
                <w:sz w:val="15"/>
              </w:rPr>
              <w:t>K</w:t>
            </w:r>
          </w:p>
        </w:tc>
        <w:tc>
          <w:tcPr>
            <w:tcW w:type="dxa" w:w="1224"/>
            <w:vAlign w:val="top"/>
            <w:tcMar>
              <w:top w:w="80" w:type="dxa"/>
              <w:start w:w="80" w:type="dxa"/>
              <w:bottom w:w="80" w:type="dxa"/>
              <w:end w:w="80" w:type="dxa"/>
            </w:tcMar>
          </w:tcPr>
          <w:p>
            <w:pPr>
              <w:spacing w:after="0"/>
            </w:pPr>
            <w:r>
              <w:rPr>
                <w:rFonts w:ascii="Arial" w:hAnsi="Arial"/>
                <w:sz w:val="15"/>
              </w:rPr>
              <w:t>47, 49</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xₜ</w:t>
            </w:r>
          </w:p>
        </w:tc>
        <w:tc>
          <w:tcPr>
            <w:tcW w:type="dxa" w:w="5616"/>
            <w:vAlign w:val="top"/>
            <w:tcMar>
              <w:top w:w="80" w:type="dxa"/>
              <w:start w:w="80" w:type="dxa"/>
              <w:bottom w:w="80" w:type="dxa"/>
              <w:end w:w="80" w:type="dxa"/>
            </w:tcMar>
            <w:shd w:fill="F2F6FA"/>
          </w:tcPr>
          <w:p>
            <w:pPr>
              <w:spacing w:after="0"/>
            </w:pPr>
            <w:r>
              <w:rPr>
                <w:rFonts w:ascii="Arial" w:hAnsi="Arial"/>
                <w:sz w:val="15"/>
              </w:rPr>
              <w:t>S3 control vector [Tsp,ₜ, αₜ]ᵀ</w:t>
            </w:r>
          </w:p>
        </w:tc>
        <w:tc>
          <w:tcPr>
            <w:tcW w:type="dxa" w:w="1728"/>
            <w:vAlign w:val="top"/>
            <w:tcMar>
              <w:top w:w="80" w:type="dxa"/>
              <w:start w:w="80" w:type="dxa"/>
              <w:bottom w:w="80" w:type="dxa"/>
              <w:end w:w="80" w:type="dxa"/>
            </w:tcMar>
            <w:shd w:fill="F2F6FA"/>
          </w:tcPr>
          <w:p>
            <w:pPr>
              <w:spacing w:after="0"/>
            </w:pPr>
            <w:r>
              <w:rPr>
                <w:rFonts w:ascii="Arial" w:hAnsi="Arial"/>
                <w:sz w:val="15"/>
              </w:rPr>
              <w:t>mixed</w:t>
            </w:r>
          </w:p>
        </w:tc>
        <w:tc>
          <w:tcPr>
            <w:tcW w:type="dxa" w:w="1224"/>
            <w:vAlign w:val="top"/>
            <w:tcMar>
              <w:top w:w="80" w:type="dxa"/>
              <w:start w:w="80" w:type="dxa"/>
              <w:bottom w:w="80" w:type="dxa"/>
              <w:end w:w="80" w:type="dxa"/>
            </w:tcMar>
            <w:shd w:fill="F2F6FA"/>
          </w:tcPr>
          <w:p>
            <w:pPr>
              <w:spacing w:after="0"/>
            </w:pPr>
            <w:r>
              <w:rPr>
                <w:rFonts w:ascii="Arial" w:hAnsi="Arial"/>
                <w:sz w:val="15"/>
              </w:rPr>
              <w:t>48</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Tsp,min, Tsp,max</w:t>
            </w:r>
          </w:p>
        </w:tc>
        <w:tc>
          <w:tcPr>
            <w:tcW w:type="dxa" w:w="5616"/>
            <w:vAlign w:val="top"/>
            <w:tcMar>
              <w:top w:w="80" w:type="dxa"/>
              <w:start w:w="80" w:type="dxa"/>
              <w:bottom w:w="80" w:type="dxa"/>
              <w:end w:w="80" w:type="dxa"/>
            </w:tcMar>
          </w:tcPr>
          <w:p>
            <w:pPr>
              <w:spacing w:after="0"/>
            </w:pPr>
            <w:r>
              <w:rPr>
                <w:rFonts w:ascii="Arial" w:hAnsi="Arial"/>
                <w:sz w:val="15"/>
              </w:rPr>
              <w:t>Lower and upper setpoint bounds</w:t>
            </w:r>
          </w:p>
        </w:tc>
        <w:tc>
          <w:tcPr>
            <w:tcW w:type="dxa" w:w="1728"/>
            <w:vAlign w:val="top"/>
            <w:tcMar>
              <w:top w:w="80" w:type="dxa"/>
              <w:start w:w="80" w:type="dxa"/>
              <w:bottom w:w="80" w:type="dxa"/>
              <w:end w:w="80" w:type="dxa"/>
            </w:tcMar>
          </w:tcPr>
          <w:p>
            <w:pPr>
              <w:spacing w:after="0"/>
            </w:pPr>
            <w:r>
              <w:rPr>
                <w:rFonts w:ascii="Arial" w:hAnsi="Arial"/>
                <w:sz w:val="15"/>
              </w:rPr>
              <w:t>°C</w:t>
            </w:r>
          </w:p>
        </w:tc>
        <w:tc>
          <w:tcPr>
            <w:tcW w:type="dxa" w:w="1224"/>
            <w:vAlign w:val="top"/>
            <w:tcMar>
              <w:top w:w="80" w:type="dxa"/>
              <w:start w:w="80" w:type="dxa"/>
              <w:bottom w:w="80" w:type="dxa"/>
              <w:end w:w="80" w:type="dxa"/>
            </w:tcMar>
          </w:tcPr>
          <w:p>
            <w:pPr>
              <w:spacing w:after="0"/>
            </w:pPr>
            <w:r>
              <w:rPr>
                <w:rFonts w:ascii="Arial" w:hAnsi="Arial"/>
                <w:sz w:val="15"/>
              </w:rPr>
              <w:t>48, 53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αmin, αmax</w:t>
            </w:r>
          </w:p>
        </w:tc>
        <w:tc>
          <w:tcPr>
            <w:tcW w:type="dxa" w:w="5616"/>
            <w:vAlign w:val="top"/>
            <w:tcMar>
              <w:top w:w="80" w:type="dxa"/>
              <w:start w:w="80" w:type="dxa"/>
              <w:bottom w:w="80" w:type="dxa"/>
              <w:end w:w="80" w:type="dxa"/>
            </w:tcMar>
            <w:shd w:fill="F2F6FA"/>
          </w:tcPr>
          <w:p>
            <w:pPr>
              <w:spacing w:after="0"/>
            </w:pPr>
            <w:r>
              <w:rPr>
                <w:rFonts w:ascii="Arial" w:hAnsi="Arial"/>
                <w:sz w:val="15"/>
              </w:rPr>
              <w:t>Lower and upper airflow-fraction bounds</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48, 53</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ēₜ</w:t>
            </w:r>
          </w:p>
        </w:tc>
        <w:tc>
          <w:tcPr>
            <w:tcW w:type="dxa" w:w="5616"/>
            <w:vAlign w:val="top"/>
            <w:tcMar>
              <w:top w:w="80" w:type="dxa"/>
              <w:start w:w="80" w:type="dxa"/>
              <w:bottom w:w="80" w:type="dxa"/>
              <w:end w:w="80" w:type="dxa"/>
            </w:tcMar>
          </w:tcPr>
          <w:p>
            <w:pPr>
              <w:spacing w:after="0"/>
            </w:pPr>
            <w:r>
              <w:rPr>
                <w:rFonts w:ascii="Arial" w:hAnsi="Arial"/>
                <w:sz w:val="15"/>
              </w:rPr>
              <w:t>Recommended notation for normalized energy objective; replaces eₜ only typographically</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49–51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δ̄ₜ</w:t>
            </w:r>
          </w:p>
        </w:tc>
        <w:tc>
          <w:tcPr>
            <w:tcW w:type="dxa" w:w="5616"/>
            <w:vAlign w:val="top"/>
            <w:tcMar>
              <w:top w:w="80" w:type="dxa"/>
              <w:start w:w="80" w:type="dxa"/>
              <w:bottom w:w="80" w:type="dxa"/>
              <w:end w:w="80" w:type="dxa"/>
            </w:tcMar>
            <w:shd w:fill="F2F6FA"/>
          </w:tcPr>
          <w:p>
            <w:pPr>
              <w:spacing w:after="0"/>
            </w:pPr>
            <w:r>
              <w:rPr>
                <w:rFonts w:ascii="Arial" w:hAnsi="Arial"/>
                <w:sz w:val="15"/>
              </w:rPr>
              <w:t>Recommended notation for normalized degradation objective; equal to δₜ in the current code</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49–51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D̄ₜ</w:t>
            </w:r>
          </w:p>
        </w:tc>
        <w:tc>
          <w:tcPr>
            <w:tcW w:type="dxa" w:w="5616"/>
            <w:vAlign w:val="top"/>
            <w:tcMar>
              <w:top w:w="80" w:type="dxa"/>
              <w:start w:w="80" w:type="dxa"/>
              <w:bottom w:w="80" w:type="dxa"/>
              <w:end w:w="80" w:type="dxa"/>
            </w:tcMar>
          </w:tcPr>
          <w:p>
            <w:pPr>
              <w:spacing w:after="0"/>
            </w:pPr>
            <w:r>
              <w:rPr>
                <w:rFonts w:ascii="Arial" w:hAnsi="Arial"/>
                <w:sz w:val="15"/>
              </w:rPr>
              <w:t>Recommended notation for normalized comfort-deviation objective</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49–51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M̄ₜ</w:t>
            </w:r>
          </w:p>
        </w:tc>
        <w:tc>
          <w:tcPr>
            <w:tcW w:type="dxa" w:w="5616"/>
            <w:vAlign w:val="top"/>
            <w:tcMar>
              <w:top w:w="80" w:type="dxa"/>
              <w:start w:w="80" w:type="dxa"/>
              <w:bottom w:w="80" w:type="dxa"/>
              <w:end w:w="80" w:type="dxa"/>
            </w:tcMar>
            <w:shd w:fill="F2F6FA"/>
          </w:tcPr>
          <w:p>
            <w:pPr>
              <w:spacing w:after="0"/>
            </w:pPr>
            <w:r>
              <w:rPr>
                <w:rFonts w:ascii="Arial" w:hAnsi="Arial"/>
                <w:sz w:val="15"/>
              </w:rPr>
              <w:t>Recommended notation for normalized carbon objective</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49–51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wE, wD, wC, wG</w:t>
            </w:r>
          </w:p>
        </w:tc>
        <w:tc>
          <w:tcPr>
            <w:tcW w:type="dxa" w:w="5616"/>
            <w:vAlign w:val="top"/>
            <w:tcMar>
              <w:top w:w="80" w:type="dxa"/>
              <w:start w:w="80" w:type="dxa"/>
              <w:bottom w:w="80" w:type="dxa"/>
              <w:end w:w="80" w:type="dxa"/>
            </w:tcMar>
          </w:tcPr>
          <w:p>
            <w:pPr>
              <w:spacing w:after="0"/>
            </w:pPr>
            <w:r>
              <w:rPr>
                <w:rFonts w:ascii="Arial" w:hAnsi="Arial"/>
                <w:sz w:val="15"/>
              </w:rPr>
              <w:t>Weights assigned to energy, degradation, comfort, and carbon terms</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50–51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Jₜ</w:t>
            </w:r>
          </w:p>
        </w:tc>
        <w:tc>
          <w:tcPr>
            <w:tcW w:type="dxa" w:w="5616"/>
            <w:vAlign w:val="top"/>
            <w:tcMar>
              <w:top w:w="80" w:type="dxa"/>
              <w:start w:w="80" w:type="dxa"/>
              <w:bottom w:w="80" w:type="dxa"/>
              <w:end w:w="80" w:type="dxa"/>
            </w:tcMar>
            <w:shd w:fill="F2F6FA"/>
          </w:tcPr>
          <w:p>
            <w:pPr>
              <w:spacing w:after="0"/>
            </w:pPr>
            <w:r>
              <w:rPr>
                <w:rFonts w:ascii="Arial" w:hAnsi="Arial"/>
                <w:sz w:val="15"/>
              </w:rPr>
              <w:t>Weighted S3 objective-function value</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50–51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μₖ</w:t>
            </w:r>
          </w:p>
        </w:tc>
        <w:tc>
          <w:tcPr>
            <w:tcW w:type="dxa" w:w="5616"/>
            <w:vAlign w:val="top"/>
            <w:tcMar>
              <w:top w:w="80" w:type="dxa"/>
              <w:start w:w="80" w:type="dxa"/>
              <w:bottom w:w="80" w:type="dxa"/>
              <w:end w:w="80" w:type="dxa"/>
            </w:tcMar>
          </w:tcPr>
          <w:p>
            <w:pPr>
              <w:spacing w:after="0"/>
            </w:pPr>
            <w:r>
              <w:rPr>
                <w:rFonts w:ascii="Arial" w:hAnsi="Arial"/>
                <w:sz w:val="15"/>
              </w:rPr>
              <w:t>Mean/search-centre vector of the Gaussian candidate distribution</w:t>
            </w:r>
          </w:p>
        </w:tc>
        <w:tc>
          <w:tcPr>
            <w:tcW w:type="dxa" w:w="1728"/>
            <w:vAlign w:val="top"/>
            <w:tcMar>
              <w:top w:w="80" w:type="dxa"/>
              <w:start w:w="80" w:type="dxa"/>
              <w:bottom w:w="80" w:type="dxa"/>
              <w:end w:w="80" w:type="dxa"/>
            </w:tcMar>
          </w:tcPr>
          <w:p>
            <w:pPr>
              <w:spacing w:after="0"/>
            </w:pPr>
            <w:r>
              <w:rPr>
                <w:rFonts w:ascii="Arial" w:hAnsi="Arial"/>
                <w:sz w:val="15"/>
              </w:rPr>
              <w:t>mixed</w:t>
            </w:r>
          </w:p>
        </w:tc>
        <w:tc>
          <w:tcPr>
            <w:tcW w:type="dxa" w:w="1224"/>
            <w:vAlign w:val="top"/>
            <w:tcMar>
              <w:top w:w="80" w:type="dxa"/>
              <w:start w:w="80" w:type="dxa"/>
              <w:bottom w:w="80" w:type="dxa"/>
              <w:end w:w="80" w:type="dxa"/>
            </w:tcMar>
          </w:tcPr>
          <w:p>
            <w:pPr>
              <w:spacing w:after="0"/>
            </w:pPr>
            <w:r>
              <w:rPr>
                <w:rFonts w:ascii="Arial" w:hAnsi="Arial"/>
                <w:sz w:val="15"/>
              </w:rPr>
              <w:t>52–55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σₖ</w:t>
            </w:r>
          </w:p>
        </w:tc>
        <w:tc>
          <w:tcPr>
            <w:tcW w:type="dxa" w:w="5616"/>
            <w:vAlign w:val="top"/>
            <w:tcMar>
              <w:top w:w="80" w:type="dxa"/>
              <w:start w:w="80" w:type="dxa"/>
              <w:bottom w:w="80" w:type="dxa"/>
              <w:end w:w="80" w:type="dxa"/>
            </w:tcMar>
            <w:shd w:fill="F2F6FA"/>
          </w:tcPr>
          <w:p>
            <w:pPr>
              <w:spacing w:after="0"/>
            </w:pPr>
            <w:r>
              <w:rPr>
                <w:rFonts w:ascii="Arial" w:hAnsi="Arial"/>
                <w:sz w:val="15"/>
              </w:rPr>
              <w:t>Standard-deviation vector of the Gaussian candidate distribution</w:t>
            </w:r>
          </w:p>
        </w:tc>
        <w:tc>
          <w:tcPr>
            <w:tcW w:type="dxa" w:w="1728"/>
            <w:vAlign w:val="top"/>
            <w:tcMar>
              <w:top w:w="80" w:type="dxa"/>
              <w:start w:w="80" w:type="dxa"/>
              <w:bottom w:w="80" w:type="dxa"/>
              <w:end w:w="80" w:type="dxa"/>
            </w:tcMar>
            <w:shd w:fill="F2F6FA"/>
          </w:tcPr>
          <w:p>
            <w:pPr>
              <w:spacing w:after="0"/>
            </w:pPr>
            <w:r>
              <w:rPr>
                <w:rFonts w:ascii="Arial" w:hAnsi="Arial"/>
                <w:sz w:val="15"/>
              </w:rPr>
              <w:t>mixed</w:t>
            </w:r>
          </w:p>
        </w:tc>
        <w:tc>
          <w:tcPr>
            <w:tcW w:type="dxa" w:w="1224"/>
            <w:vAlign w:val="top"/>
            <w:tcMar>
              <w:top w:w="80" w:type="dxa"/>
              <w:start w:w="80" w:type="dxa"/>
              <w:bottom w:w="80" w:type="dxa"/>
              <w:end w:w="80" w:type="dxa"/>
            </w:tcMar>
            <w:shd w:fill="F2F6FA"/>
          </w:tcPr>
          <w:p>
            <w:pPr>
              <w:spacing w:after="0"/>
            </w:pPr>
            <w:r>
              <w:rPr>
                <w:rFonts w:ascii="Arial" w:hAnsi="Arial"/>
                <w:sz w:val="15"/>
              </w:rPr>
              <w:t>52–55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εₖ,i</w:t>
            </w:r>
          </w:p>
        </w:tc>
        <w:tc>
          <w:tcPr>
            <w:tcW w:type="dxa" w:w="5616"/>
            <w:vAlign w:val="top"/>
            <w:tcMar>
              <w:top w:w="80" w:type="dxa"/>
              <w:start w:w="80" w:type="dxa"/>
              <w:bottom w:w="80" w:type="dxa"/>
              <w:end w:w="80" w:type="dxa"/>
            </w:tcMar>
          </w:tcPr>
          <w:p>
            <w:pPr>
              <w:spacing w:after="0"/>
            </w:pPr>
            <w:r>
              <w:rPr>
                <w:rFonts w:ascii="Arial" w:hAnsi="Arial"/>
                <w:sz w:val="15"/>
              </w:rPr>
              <w:t>Standard-normal random candidate vector</w:t>
            </w:r>
          </w:p>
        </w:tc>
        <w:tc>
          <w:tcPr>
            <w:tcW w:type="dxa" w:w="1728"/>
            <w:vAlign w:val="top"/>
            <w:tcMar>
              <w:top w:w="80" w:type="dxa"/>
              <w:start w:w="80" w:type="dxa"/>
              <w:bottom w:w="80" w:type="dxa"/>
              <w:end w:w="80" w:type="dxa"/>
            </w:tcMar>
          </w:tcPr>
          <w:p>
            <w:pPr>
              <w:spacing w:after="0"/>
            </w:pPr>
            <w:r>
              <w:rPr>
                <w:rFonts w:ascii="Arial" w:hAnsi="Arial"/>
                <w:sz w:val="15"/>
              </w:rPr>
              <w:t>–</w:t>
            </w:r>
          </w:p>
        </w:tc>
        <w:tc>
          <w:tcPr>
            <w:tcW w:type="dxa" w:w="1224"/>
            <w:vAlign w:val="top"/>
            <w:tcMar>
              <w:top w:w="80" w:type="dxa"/>
              <w:start w:w="80" w:type="dxa"/>
              <w:bottom w:w="80" w:type="dxa"/>
              <w:end w:w="80" w:type="dxa"/>
            </w:tcMar>
          </w:tcPr>
          <w:p>
            <w:pPr>
              <w:spacing w:after="0"/>
            </w:pPr>
            <w:r>
              <w:rPr>
                <w:rFonts w:ascii="Arial" w:hAnsi="Arial"/>
                <w:sz w:val="15"/>
              </w:rPr>
              <w:t>53</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xₖ,i</w:t>
            </w:r>
          </w:p>
        </w:tc>
        <w:tc>
          <w:tcPr>
            <w:tcW w:type="dxa" w:w="5616"/>
            <w:vAlign w:val="top"/>
            <w:tcMar>
              <w:top w:w="80" w:type="dxa"/>
              <w:start w:w="80" w:type="dxa"/>
              <w:bottom w:w="80" w:type="dxa"/>
              <w:end w:w="80" w:type="dxa"/>
            </w:tcMar>
            <w:shd w:fill="F2F6FA"/>
          </w:tcPr>
          <w:p>
            <w:pPr>
              <w:spacing w:after="0"/>
            </w:pPr>
            <w:r>
              <w:rPr>
                <w:rFonts w:ascii="Arial" w:hAnsi="Arial"/>
                <w:sz w:val="15"/>
              </w:rPr>
              <w:t>Candidate control vector i at iteration k</w:t>
            </w:r>
          </w:p>
        </w:tc>
        <w:tc>
          <w:tcPr>
            <w:tcW w:type="dxa" w:w="1728"/>
            <w:vAlign w:val="top"/>
            <w:tcMar>
              <w:top w:w="80" w:type="dxa"/>
              <w:start w:w="80" w:type="dxa"/>
              <w:bottom w:w="80" w:type="dxa"/>
              <w:end w:w="80" w:type="dxa"/>
            </w:tcMar>
            <w:shd w:fill="F2F6FA"/>
          </w:tcPr>
          <w:p>
            <w:pPr>
              <w:spacing w:after="0"/>
            </w:pPr>
            <w:r>
              <w:rPr>
                <w:rFonts w:ascii="Arial" w:hAnsi="Arial"/>
                <w:sz w:val="15"/>
              </w:rPr>
              <w:t>mixed</w:t>
            </w:r>
          </w:p>
        </w:tc>
        <w:tc>
          <w:tcPr>
            <w:tcW w:type="dxa" w:w="1224"/>
            <w:vAlign w:val="top"/>
            <w:tcMar>
              <w:top w:w="80" w:type="dxa"/>
              <w:start w:w="80" w:type="dxa"/>
              <w:bottom w:w="80" w:type="dxa"/>
              <w:end w:w="80" w:type="dxa"/>
            </w:tcMar>
            <w:shd w:fill="F2F6FA"/>
          </w:tcPr>
          <w:p>
            <w:pPr>
              <w:spacing w:after="0"/>
            </w:pPr>
            <w:r>
              <w:rPr>
                <w:rFonts w:ascii="Arial" w:hAnsi="Arial"/>
                <w:sz w:val="15"/>
              </w:rPr>
              <w:t>53, 55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Np</w:t>
            </w:r>
          </w:p>
        </w:tc>
        <w:tc>
          <w:tcPr>
            <w:tcW w:type="dxa" w:w="5616"/>
            <w:vAlign w:val="top"/>
            <w:tcMar>
              <w:top w:w="80" w:type="dxa"/>
              <w:start w:w="80" w:type="dxa"/>
              <w:bottom w:w="80" w:type="dxa"/>
              <w:end w:w="80" w:type="dxa"/>
            </w:tcMar>
          </w:tcPr>
          <w:p>
            <w:pPr>
              <w:spacing w:after="0"/>
            </w:pPr>
            <w:r>
              <w:rPr>
                <w:rFonts w:ascii="Arial" w:hAnsi="Arial"/>
                <w:sz w:val="15"/>
              </w:rPr>
              <w:t>Candidate population size</w:t>
            </w:r>
          </w:p>
        </w:tc>
        <w:tc>
          <w:tcPr>
            <w:tcW w:type="dxa" w:w="1728"/>
            <w:vAlign w:val="top"/>
            <w:tcMar>
              <w:top w:w="80" w:type="dxa"/>
              <w:start w:w="80" w:type="dxa"/>
              <w:bottom w:w="80" w:type="dxa"/>
              <w:end w:w="80" w:type="dxa"/>
            </w:tcMar>
          </w:tcPr>
          <w:p>
            <w:pPr>
              <w:spacing w:after="0"/>
            </w:pPr>
            <w:r>
              <w:rPr>
                <w:rFonts w:ascii="Arial" w:hAnsi="Arial"/>
                <w:sz w:val="15"/>
              </w:rPr>
              <w:t>candidate</w:t>
            </w:r>
          </w:p>
        </w:tc>
        <w:tc>
          <w:tcPr>
            <w:tcW w:type="dxa" w:w="1224"/>
            <w:vAlign w:val="top"/>
            <w:tcMar>
              <w:top w:w="80" w:type="dxa"/>
              <w:start w:w="80" w:type="dxa"/>
              <w:bottom w:w="80" w:type="dxa"/>
              <w:end w:w="80" w:type="dxa"/>
            </w:tcMar>
          </w:tcPr>
          <w:p>
            <w:pPr>
              <w:spacing w:after="0"/>
            </w:pPr>
            <w:r>
              <w:rPr>
                <w:rFonts w:ascii="Arial" w:hAnsi="Arial"/>
                <w:sz w:val="15"/>
              </w:rPr>
              <w:t>54–55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S3 optimization</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Ne</w:t>
            </w:r>
          </w:p>
        </w:tc>
        <w:tc>
          <w:tcPr>
            <w:tcW w:type="dxa" w:w="5616"/>
            <w:vAlign w:val="top"/>
            <w:tcMar>
              <w:top w:w="80" w:type="dxa"/>
              <w:start w:w="80" w:type="dxa"/>
              <w:bottom w:w="80" w:type="dxa"/>
              <w:end w:w="80" w:type="dxa"/>
            </w:tcMar>
            <w:shd w:fill="F2F6FA"/>
          </w:tcPr>
          <w:p>
            <w:pPr>
              <w:spacing w:after="0"/>
            </w:pPr>
            <w:r>
              <w:rPr>
                <w:rFonts w:ascii="Arial" w:hAnsi="Arial"/>
                <w:sz w:val="15"/>
              </w:rPr>
              <w:t>Number of elite candidates</w:t>
            </w:r>
          </w:p>
        </w:tc>
        <w:tc>
          <w:tcPr>
            <w:tcW w:type="dxa" w:w="1728"/>
            <w:vAlign w:val="top"/>
            <w:tcMar>
              <w:top w:w="80" w:type="dxa"/>
              <w:start w:w="80" w:type="dxa"/>
              <w:bottom w:w="80" w:type="dxa"/>
              <w:end w:w="80" w:type="dxa"/>
            </w:tcMar>
            <w:shd w:fill="F2F6FA"/>
          </w:tcPr>
          <w:p>
            <w:pPr>
              <w:spacing w:after="0"/>
            </w:pPr>
            <w:r>
              <w:rPr>
                <w:rFonts w:ascii="Arial" w:hAnsi="Arial"/>
                <w:sz w:val="15"/>
              </w:rPr>
              <w:t>candidate</w:t>
            </w:r>
          </w:p>
        </w:tc>
        <w:tc>
          <w:tcPr>
            <w:tcW w:type="dxa" w:w="1224"/>
            <w:vAlign w:val="top"/>
            <w:tcMar>
              <w:top w:w="80" w:type="dxa"/>
              <w:start w:w="80" w:type="dxa"/>
              <w:bottom w:w="80" w:type="dxa"/>
              <w:end w:w="80" w:type="dxa"/>
            </w:tcMar>
            <w:shd w:fill="F2F6FA"/>
          </w:tcPr>
          <w:p>
            <w:pPr>
              <w:spacing w:after="0"/>
            </w:pPr>
            <w:r>
              <w:rPr>
                <w:rFonts w:ascii="Arial" w:hAnsi="Arial"/>
                <w:sz w:val="15"/>
              </w:rPr>
              <w:t>54–55</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S3 optimization</w:t>
            </w:r>
          </w:p>
        </w:tc>
        <w:tc>
          <w:tcPr>
            <w:tcW w:type="dxa" w:w="1800"/>
            <w:vAlign w:val="top"/>
            <w:tcMar>
              <w:top w:w="80" w:type="dxa"/>
              <w:start w:w="80" w:type="dxa"/>
              <w:bottom w:w="80" w:type="dxa"/>
              <w:end w:w="80" w:type="dxa"/>
            </w:tcMar>
          </w:tcPr>
          <w:p>
            <w:pPr>
              <w:spacing w:after="0"/>
            </w:pPr>
            <w:r>
              <w:rPr>
                <w:rFonts w:ascii="Cambria Math" w:hAnsi="Cambria Math"/>
                <w:sz w:val="15"/>
              </w:rPr>
              <w:t>Niter</w:t>
            </w:r>
          </w:p>
        </w:tc>
        <w:tc>
          <w:tcPr>
            <w:tcW w:type="dxa" w:w="5616"/>
            <w:vAlign w:val="top"/>
            <w:tcMar>
              <w:top w:w="80" w:type="dxa"/>
              <w:start w:w="80" w:type="dxa"/>
              <w:bottom w:w="80" w:type="dxa"/>
              <w:end w:w="80" w:type="dxa"/>
            </w:tcMar>
          </w:tcPr>
          <w:p>
            <w:pPr>
              <w:spacing w:after="0"/>
            </w:pPr>
            <w:r>
              <w:rPr>
                <w:rFonts w:ascii="Arial" w:hAnsi="Arial"/>
                <w:sz w:val="15"/>
              </w:rPr>
              <w:t>Fixed number of stochastic-search iterations</w:t>
            </w:r>
          </w:p>
        </w:tc>
        <w:tc>
          <w:tcPr>
            <w:tcW w:type="dxa" w:w="1728"/>
            <w:vAlign w:val="top"/>
            <w:tcMar>
              <w:top w:w="80" w:type="dxa"/>
              <w:start w:w="80" w:type="dxa"/>
              <w:bottom w:w="80" w:type="dxa"/>
              <w:end w:w="80" w:type="dxa"/>
            </w:tcMar>
          </w:tcPr>
          <w:p>
            <w:pPr>
              <w:spacing w:after="0"/>
            </w:pPr>
            <w:r>
              <w:rPr>
                <w:rFonts w:ascii="Arial" w:hAnsi="Arial"/>
                <w:sz w:val="15"/>
              </w:rPr>
              <w:t>iteration</w:t>
            </w:r>
          </w:p>
        </w:tc>
        <w:tc>
          <w:tcPr>
            <w:tcW w:type="dxa" w:w="1224"/>
            <w:vAlign w:val="top"/>
            <w:tcMar>
              <w:top w:w="80" w:type="dxa"/>
              <w:start w:w="80" w:type="dxa"/>
              <w:bottom w:w="80" w:type="dxa"/>
              <w:end w:w="80" w:type="dxa"/>
            </w:tcMar>
          </w:tcPr>
          <w:p>
            <w:pPr>
              <w:spacing w:after="0"/>
            </w:pPr>
            <w:r>
              <w:rPr>
                <w:rFonts w:ascii="Arial" w:hAnsi="Arial"/>
                <w:sz w:val="15"/>
              </w:rPr>
              <w:t>55</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uHX,ₜ</w:t>
            </w:r>
          </w:p>
        </w:tc>
        <w:tc>
          <w:tcPr>
            <w:tcW w:type="dxa" w:w="5616"/>
            <w:vAlign w:val="top"/>
            <w:tcMar>
              <w:top w:w="80" w:type="dxa"/>
              <w:start w:w="80" w:type="dxa"/>
              <w:bottom w:w="80" w:type="dxa"/>
              <w:end w:w="80" w:type="dxa"/>
            </w:tcMar>
            <w:shd w:fill="F2F6FA"/>
          </w:tcPr>
          <w:p>
            <w:pPr>
              <w:spacing w:after="0"/>
            </w:pPr>
            <w:r>
              <w:rPr>
                <w:rFonts w:ascii="Arial" w:hAnsi="Arial"/>
                <w:sz w:val="15"/>
              </w:rPr>
              <w:t>Binary heat-exchanger cleaning decision</w:t>
            </w:r>
          </w:p>
        </w:tc>
        <w:tc>
          <w:tcPr>
            <w:tcW w:type="dxa" w:w="1728"/>
            <w:vAlign w:val="top"/>
            <w:tcMar>
              <w:top w:w="80" w:type="dxa"/>
              <w:start w:w="80" w:type="dxa"/>
              <w:bottom w:w="80" w:type="dxa"/>
              <w:end w:w="80" w:type="dxa"/>
            </w:tcMar>
            <w:shd w:fill="F2F6FA"/>
          </w:tcPr>
          <w:p>
            <w:pPr>
              <w:spacing w:after="0"/>
            </w:pPr>
            <w:r>
              <w:rPr>
                <w:rFonts w:ascii="Arial" w:hAnsi="Arial"/>
                <w:sz w:val="15"/>
              </w:rPr>
              <w:t>0 or 1</w:t>
            </w:r>
          </w:p>
        </w:tc>
        <w:tc>
          <w:tcPr>
            <w:tcW w:type="dxa" w:w="1224"/>
            <w:vAlign w:val="top"/>
            <w:tcMar>
              <w:top w:w="80" w:type="dxa"/>
              <w:start w:w="80" w:type="dxa"/>
              <w:bottom w:w="80" w:type="dxa"/>
              <w:end w:w="80" w:type="dxa"/>
            </w:tcMar>
            <w:shd w:fill="F2F6FA"/>
          </w:tcPr>
          <w:p>
            <w:pPr>
              <w:spacing w:after="0"/>
            </w:pPr>
            <w:r>
              <w:rPr>
                <w:rFonts w:ascii="Arial" w:hAnsi="Arial"/>
                <w:sz w:val="15"/>
              </w:rPr>
              <w:t>56, 58, 60</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Maintenance and cost</w:t>
            </w:r>
          </w:p>
        </w:tc>
        <w:tc>
          <w:tcPr>
            <w:tcW w:type="dxa" w:w="1800"/>
            <w:vAlign w:val="top"/>
            <w:tcMar>
              <w:top w:w="80" w:type="dxa"/>
              <w:start w:w="80" w:type="dxa"/>
              <w:bottom w:w="80" w:type="dxa"/>
              <w:end w:w="80" w:type="dxa"/>
            </w:tcMar>
          </w:tcPr>
          <w:p>
            <w:pPr>
              <w:spacing w:after="0"/>
            </w:pPr>
            <w:r>
              <w:rPr>
                <w:rFonts w:ascii="Cambria Math" w:hAnsi="Cambria Math"/>
                <w:sz w:val="15"/>
              </w:rPr>
              <w:t>uF,ₜ</w:t>
            </w:r>
          </w:p>
        </w:tc>
        <w:tc>
          <w:tcPr>
            <w:tcW w:type="dxa" w:w="5616"/>
            <w:vAlign w:val="top"/>
            <w:tcMar>
              <w:top w:w="80" w:type="dxa"/>
              <w:start w:w="80" w:type="dxa"/>
              <w:bottom w:w="80" w:type="dxa"/>
              <w:end w:w="80" w:type="dxa"/>
            </w:tcMar>
          </w:tcPr>
          <w:p>
            <w:pPr>
              <w:spacing w:after="0"/>
            </w:pPr>
            <w:r>
              <w:rPr>
                <w:rFonts w:ascii="Arial" w:hAnsi="Arial"/>
                <w:sz w:val="15"/>
              </w:rPr>
              <w:t>Binary filter-replacement decision</w:t>
            </w:r>
          </w:p>
        </w:tc>
        <w:tc>
          <w:tcPr>
            <w:tcW w:type="dxa" w:w="1728"/>
            <w:vAlign w:val="top"/>
            <w:tcMar>
              <w:top w:w="80" w:type="dxa"/>
              <w:start w:w="80" w:type="dxa"/>
              <w:bottom w:w="80" w:type="dxa"/>
              <w:end w:w="80" w:type="dxa"/>
            </w:tcMar>
          </w:tcPr>
          <w:p>
            <w:pPr>
              <w:spacing w:after="0"/>
            </w:pPr>
            <w:r>
              <w:rPr>
                <w:rFonts w:ascii="Arial" w:hAnsi="Arial"/>
                <w:sz w:val="15"/>
              </w:rPr>
              <w:t>0 or 1</w:t>
            </w:r>
          </w:p>
        </w:tc>
        <w:tc>
          <w:tcPr>
            <w:tcW w:type="dxa" w:w="1224"/>
            <w:vAlign w:val="top"/>
            <w:tcMar>
              <w:top w:w="80" w:type="dxa"/>
              <w:start w:w="80" w:type="dxa"/>
              <w:bottom w:w="80" w:type="dxa"/>
              <w:end w:w="80" w:type="dxa"/>
            </w:tcMar>
          </w:tcPr>
          <w:p>
            <w:pPr>
              <w:spacing w:after="0"/>
            </w:pPr>
            <w:r>
              <w:rPr>
                <w:rFonts w:ascii="Arial" w:hAnsi="Arial"/>
                <w:sz w:val="15"/>
              </w:rPr>
              <w:t>57–58, 60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Rf,warn</w:t>
            </w:r>
          </w:p>
        </w:tc>
        <w:tc>
          <w:tcPr>
            <w:tcW w:type="dxa" w:w="5616"/>
            <w:vAlign w:val="top"/>
            <w:tcMar>
              <w:top w:w="80" w:type="dxa"/>
              <w:start w:w="80" w:type="dxa"/>
              <w:bottom w:w="80" w:type="dxa"/>
              <w:end w:w="80" w:type="dxa"/>
            </w:tcMar>
            <w:shd w:fill="F2F6FA"/>
          </w:tcPr>
          <w:p>
            <w:pPr>
              <w:spacing w:after="0"/>
            </w:pPr>
            <w:r>
              <w:rPr>
                <w:rFonts w:ascii="Arial" w:hAnsi="Arial"/>
                <w:sz w:val="15"/>
              </w:rPr>
              <w:t>Heat-exchanger fouling warning threshold</w:t>
            </w:r>
          </w:p>
        </w:tc>
        <w:tc>
          <w:tcPr>
            <w:tcW w:type="dxa" w:w="1728"/>
            <w:vAlign w:val="top"/>
            <w:tcMar>
              <w:top w:w="80" w:type="dxa"/>
              <w:start w:w="80" w:type="dxa"/>
              <w:bottom w:w="80" w:type="dxa"/>
              <w:end w:w="80" w:type="dxa"/>
            </w:tcMar>
            <w:shd w:fill="F2F6FA"/>
          </w:tcPr>
          <w:p>
            <w:pPr>
              <w:spacing w:after="0"/>
            </w:pPr>
            <w:r>
              <w:rPr>
                <w:rFonts w:ascii="Arial" w:hAnsi="Arial"/>
                <w:sz w:val="15"/>
              </w:rPr>
              <w:t>m² K W⁻¹</w:t>
            </w:r>
          </w:p>
        </w:tc>
        <w:tc>
          <w:tcPr>
            <w:tcW w:type="dxa" w:w="1224"/>
            <w:vAlign w:val="top"/>
            <w:tcMar>
              <w:top w:w="80" w:type="dxa"/>
              <w:start w:w="80" w:type="dxa"/>
              <w:bottom w:w="80" w:type="dxa"/>
              <w:end w:w="80" w:type="dxa"/>
            </w:tcMar>
            <w:shd w:fill="F2F6FA"/>
          </w:tcPr>
          <w:p>
            <w:pPr>
              <w:spacing w:after="0"/>
            </w:pPr>
            <w:r>
              <w:rPr>
                <w:rFonts w:ascii="Arial" w:hAnsi="Arial"/>
                <w:sz w:val="15"/>
              </w:rPr>
              <w:t>56</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Maintenance and cost</w:t>
            </w:r>
          </w:p>
        </w:tc>
        <w:tc>
          <w:tcPr>
            <w:tcW w:type="dxa" w:w="1800"/>
            <w:vAlign w:val="top"/>
            <w:tcMar>
              <w:top w:w="80" w:type="dxa"/>
              <w:start w:w="80" w:type="dxa"/>
              <w:bottom w:w="80" w:type="dxa"/>
              <w:end w:w="80" w:type="dxa"/>
            </w:tcMar>
          </w:tcPr>
          <w:p>
            <w:pPr>
              <w:spacing w:after="0"/>
            </w:pPr>
            <w:r>
              <w:rPr>
                <w:rFonts w:ascii="Cambria Math" w:hAnsi="Cambria Math"/>
                <w:sz w:val="15"/>
              </w:rPr>
              <w:t>ΔPwarn</w:t>
            </w:r>
          </w:p>
        </w:tc>
        <w:tc>
          <w:tcPr>
            <w:tcW w:type="dxa" w:w="5616"/>
            <w:vAlign w:val="top"/>
            <w:tcMar>
              <w:top w:w="80" w:type="dxa"/>
              <w:start w:w="80" w:type="dxa"/>
              <w:bottom w:w="80" w:type="dxa"/>
              <w:end w:w="80" w:type="dxa"/>
            </w:tcMar>
          </w:tcPr>
          <w:p>
            <w:pPr>
              <w:spacing w:after="0"/>
            </w:pPr>
            <w:r>
              <w:rPr>
                <w:rFonts w:ascii="Arial" w:hAnsi="Arial"/>
                <w:sz w:val="15"/>
              </w:rPr>
              <w:t>Filter pressure-drop warning threshold</w:t>
            </w:r>
          </w:p>
        </w:tc>
        <w:tc>
          <w:tcPr>
            <w:tcW w:type="dxa" w:w="1728"/>
            <w:vAlign w:val="top"/>
            <w:tcMar>
              <w:top w:w="80" w:type="dxa"/>
              <w:start w:w="80" w:type="dxa"/>
              <w:bottom w:w="80" w:type="dxa"/>
              <w:end w:w="80" w:type="dxa"/>
            </w:tcMar>
          </w:tcPr>
          <w:p>
            <w:pPr>
              <w:spacing w:after="0"/>
            </w:pPr>
            <w:r>
              <w:rPr>
                <w:rFonts w:ascii="Arial" w:hAnsi="Arial"/>
                <w:sz w:val="15"/>
              </w:rPr>
              <w:t>Pa</w:t>
            </w:r>
          </w:p>
        </w:tc>
        <w:tc>
          <w:tcPr>
            <w:tcW w:type="dxa" w:w="1224"/>
            <w:vAlign w:val="top"/>
            <w:tcMar>
              <w:top w:w="80" w:type="dxa"/>
              <w:start w:w="80" w:type="dxa"/>
              <w:bottom w:w="80" w:type="dxa"/>
              <w:end w:w="80" w:type="dxa"/>
            </w:tcMar>
          </w:tcPr>
          <w:p>
            <w:pPr>
              <w:spacing w:after="0"/>
            </w:pPr>
            <w:r>
              <w:rPr>
                <w:rFonts w:ascii="Arial" w:hAnsi="Arial"/>
                <w:sz w:val="15"/>
              </w:rPr>
              <w:t>57</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δtrig</w:t>
            </w:r>
          </w:p>
        </w:tc>
        <w:tc>
          <w:tcPr>
            <w:tcW w:type="dxa" w:w="5616"/>
            <w:vAlign w:val="top"/>
            <w:tcMar>
              <w:top w:w="80" w:type="dxa"/>
              <w:start w:w="80" w:type="dxa"/>
              <w:bottom w:w="80" w:type="dxa"/>
              <w:end w:w="80" w:type="dxa"/>
            </w:tcMar>
            <w:shd w:fill="F2F6FA"/>
          </w:tcPr>
          <w:p>
            <w:pPr>
              <w:spacing w:after="0"/>
            </w:pPr>
            <w:r>
              <w:rPr>
                <w:rFonts w:ascii="Arial" w:hAnsi="Arial"/>
                <w:sz w:val="15"/>
              </w:rPr>
              <w:t>Composite degradation maintenance trigger</w:t>
            </w:r>
          </w:p>
        </w:tc>
        <w:tc>
          <w:tcPr>
            <w:tcW w:type="dxa" w:w="1728"/>
            <w:vAlign w:val="top"/>
            <w:tcMar>
              <w:top w:w="80" w:type="dxa"/>
              <w:start w:w="80" w:type="dxa"/>
              <w:bottom w:w="80" w:type="dxa"/>
              <w:end w:w="80" w:type="dxa"/>
            </w:tcMar>
            <w:shd w:fill="F2F6FA"/>
          </w:tcPr>
          <w:p>
            <w:pPr>
              <w:spacing w:after="0"/>
            </w:pPr>
            <w:r>
              <w:rPr>
                <w:rFonts w:ascii="Arial" w:hAnsi="Arial"/>
                <w:sz w:val="15"/>
              </w:rPr>
              <w:t>–</w:t>
            </w:r>
          </w:p>
        </w:tc>
        <w:tc>
          <w:tcPr>
            <w:tcW w:type="dxa" w:w="1224"/>
            <w:vAlign w:val="top"/>
            <w:tcMar>
              <w:top w:w="80" w:type="dxa"/>
              <w:start w:w="80" w:type="dxa"/>
              <w:bottom w:w="80" w:type="dxa"/>
              <w:end w:w="80" w:type="dxa"/>
            </w:tcMar>
            <w:shd w:fill="F2F6FA"/>
          </w:tcPr>
          <w:p>
            <w:pPr>
              <w:spacing w:after="0"/>
            </w:pPr>
            <w:r>
              <w:rPr>
                <w:rFonts w:ascii="Arial" w:hAnsi="Arial"/>
                <w:sz w:val="15"/>
              </w:rPr>
              <w:t>56–57</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Maintenance and cost</w:t>
            </w:r>
          </w:p>
        </w:tc>
        <w:tc>
          <w:tcPr>
            <w:tcW w:type="dxa" w:w="1800"/>
            <w:vAlign w:val="top"/>
            <w:tcMar>
              <w:top w:w="80" w:type="dxa"/>
              <w:start w:w="80" w:type="dxa"/>
              <w:bottom w:w="80" w:type="dxa"/>
              <w:end w:w="80" w:type="dxa"/>
            </w:tcMar>
          </w:tcPr>
          <w:p>
            <w:pPr>
              <w:spacing w:after="0"/>
            </w:pPr>
            <w:r>
              <w:rPr>
                <w:rFonts w:ascii="Cambria Math" w:hAnsi="Cambria Math"/>
                <w:sz w:val="15"/>
              </w:rPr>
              <w:t>CE,ₜ</w:t>
            </w:r>
          </w:p>
        </w:tc>
        <w:tc>
          <w:tcPr>
            <w:tcW w:type="dxa" w:w="5616"/>
            <w:vAlign w:val="top"/>
            <w:tcMar>
              <w:top w:w="80" w:type="dxa"/>
              <w:start w:w="80" w:type="dxa"/>
              <w:bottom w:w="80" w:type="dxa"/>
              <w:end w:w="80" w:type="dxa"/>
            </w:tcMar>
          </w:tcPr>
          <w:p>
            <w:pPr>
              <w:spacing w:after="0"/>
            </w:pPr>
            <w:r>
              <w:rPr>
                <w:rFonts w:ascii="Arial" w:hAnsi="Arial"/>
                <w:sz w:val="15"/>
              </w:rPr>
              <w:t>Period electricity cost</w:t>
            </w:r>
          </w:p>
        </w:tc>
        <w:tc>
          <w:tcPr>
            <w:tcW w:type="dxa" w:w="1728"/>
            <w:vAlign w:val="top"/>
            <w:tcMar>
              <w:top w:w="80" w:type="dxa"/>
              <w:start w:w="80" w:type="dxa"/>
              <w:bottom w:w="80" w:type="dxa"/>
              <w:end w:w="80" w:type="dxa"/>
            </w:tcMar>
          </w:tcPr>
          <w:p>
            <w:pPr>
              <w:spacing w:after="0"/>
            </w:pPr>
            <w:r>
              <w:rPr>
                <w:rFonts w:ascii="Arial" w:hAnsi="Arial"/>
                <w:sz w:val="15"/>
              </w:rPr>
              <w:t>USD</w:t>
            </w:r>
          </w:p>
        </w:tc>
        <w:tc>
          <w:tcPr>
            <w:tcW w:type="dxa" w:w="1224"/>
            <w:vAlign w:val="top"/>
            <w:tcMar>
              <w:top w:w="80" w:type="dxa"/>
              <w:start w:w="80" w:type="dxa"/>
              <w:bottom w:w="80" w:type="dxa"/>
              <w:end w:w="80" w:type="dxa"/>
            </w:tcMar>
          </w:tcPr>
          <w:p>
            <w:pPr>
              <w:spacing w:after="0"/>
            </w:pPr>
            <w:r>
              <w:rPr>
                <w:rFonts w:ascii="Arial" w:hAnsi="Arial"/>
                <w:sz w:val="15"/>
              </w:rPr>
              <w:t>59, 61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pE</w:t>
            </w:r>
          </w:p>
        </w:tc>
        <w:tc>
          <w:tcPr>
            <w:tcW w:type="dxa" w:w="5616"/>
            <w:vAlign w:val="top"/>
            <w:tcMar>
              <w:top w:w="80" w:type="dxa"/>
              <w:start w:w="80" w:type="dxa"/>
              <w:bottom w:w="80" w:type="dxa"/>
              <w:end w:w="80" w:type="dxa"/>
            </w:tcMar>
            <w:shd w:fill="F2F6FA"/>
          </w:tcPr>
          <w:p>
            <w:pPr>
              <w:spacing w:after="0"/>
            </w:pPr>
            <w:r>
              <w:rPr>
                <w:rFonts w:ascii="Arial" w:hAnsi="Arial"/>
                <w:sz w:val="15"/>
              </w:rPr>
              <w:t>Electricity tariff</w:t>
            </w:r>
          </w:p>
        </w:tc>
        <w:tc>
          <w:tcPr>
            <w:tcW w:type="dxa" w:w="1728"/>
            <w:vAlign w:val="top"/>
            <w:tcMar>
              <w:top w:w="80" w:type="dxa"/>
              <w:start w:w="80" w:type="dxa"/>
              <w:bottom w:w="80" w:type="dxa"/>
              <w:end w:w="80" w:type="dxa"/>
            </w:tcMar>
            <w:shd w:fill="F2F6FA"/>
          </w:tcPr>
          <w:p>
            <w:pPr>
              <w:spacing w:after="0"/>
            </w:pPr>
            <w:r>
              <w:rPr>
                <w:rFonts w:ascii="Arial" w:hAnsi="Arial"/>
                <w:sz w:val="15"/>
              </w:rPr>
              <w:t>USD kWh⁻¹</w:t>
            </w:r>
          </w:p>
        </w:tc>
        <w:tc>
          <w:tcPr>
            <w:tcW w:type="dxa" w:w="1224"/>
            <w:vAlign w:val="top"/>
            <w:tcMar>
              <w:top w:w="80" w:type="dxa"/>
              <w:start w:w="80" w:type="dxa"/>
              <w:bottom w:w="80" w:type="dxa"/>
              <w:end w:w="80" w:type="dxa"/>
            </w:tcMar>
            <w:shd w:fill="F2F6FA"/>
          </w:tcPr>
          <w:p>
            <w:pPr>
              <w:spacing w:after="0"/>
            </w:pPr>
            <w:r>
              <w:rPr>
                <w:rFonts w:ascii="Arial" w:hAnsi="Arial"/>
                <w:sz w:val="15"/>
              </w:rPr>
              <w:t>59</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Maintenance and cost</w:t>
            </w:r>
          </w:p>
        </w:tc>
        <w:tc>
          <w:tcPr>
            <w:tcW w:type="dxa" w:w="1800"/>
            <w:vAlign w:val="top"/>
            <w:tcMar>
              <w:top w:w="80" w:type="dxa"/>
              <w:start w:w="80" w:type="dxa"/>
              <w:bottom w:w="80" w:type="dxa"/>
              <w:end w:w="80" w:type="dxa"/>
            </w:tcMar>
          </w:tcPr>
          <w:p>
            <w:pPr>
              <w:spacing w:after="0"/>
            </w:pPr>
            <w:r>
              <w:rPr>
                <w:rFonts w:ascii="Cambria Math" w:hAnsi="Cambria Math"/>
                <w:sz w:val="15"/>
              </w:rPr>
              <w:t>CM,ₜ</w:t>
            </w:r>
          </w:p>
        </w:tc>
        <w:tc>
          <w:tcPr>
            <w:tcW w:type="dxa" w:w="5616"/>
            <w:vAlign w:val="top"/>
            <w:tcMar>
              <w:top w:w="80" w:type="dxa"/>
              <w:start w:w="80" w:type="dxa"/>
              <w:bottom w:w="80" w:type="dxa"/>
              <w:end w:w="80" w:type="dxa"/>
            </w:tcMar>
          </w:tcPr>
          <w:p>
            <w:pPr>
              <w:spacing w:after="0"/>
            </w:pPr>
            <w:r>
              <w:rPr>
                <w:rFonts w:ascii="Arial" w:hAnsi="Arial"/>
                <w:sz w:val="15"/>
              </w:rPr>
              <w:t>Direct maintenance cost during the period</w:t>
            </w:r>
          </w:p>
        </w:tc>
        <w:tc>
          <w:tcPr>
            <w:tcW w:type="dxa" w:w="1728"/>
            <w:vAlign w:val="top"/>
            <w:tcMar>
              <w:top w:w="80" w:type="dxa"/>
              <w:start w:w="80" w:type="dxa"/>
              <w:bottom w:w="80" w:type="dxa"/>
              <w:end w:w="80" w:type="dxa"/>
            </w:tcMar>
          </w:tcPr>
          <w:p>
            <w:pPr>
              <w:spacing w:after="0"/>
            </w:pPr>
            <w:r>
              <w:rPr>
                <w:rFonts w:ascii="Arial" w:hAnsi="Arial"/>
                <w:sz w:val="15"/>
              </w:rPr>
              <w:t>USD</w:t>
            </w:r>
          </w:p>
        </w:tc>
        <w:tc>
          <w:tcPr>
            <w:tcW w:type="dxa" w:w="1224"/>
            <w:vAlign w:val="top"/>
            <w:tcMar>
              <w:top w:w="80" w:type="dxa"/>
              <w:start w:w="80" w:type="dxa"/>
              <w:bottom w:w="80" w:type="dxa"/>
              <w:end w:w="80" w:type="dxa"/>
            </w:tcMar>
          </w:tcPr>
          <w:p>
            <w:pPr>
              <w:spacing w:after="0"/>
            </w:pPr>
            <w:r>
              <w:rPr>
                <w:rFonts w:ascii="Arial" w:hAnsi="Arial"/>
                <w:sz w:val="15"/>
              </w:rPr>
              <w:t>60–61</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CF</w:t>
            </w:r>
          </w:p>
        </w:tc>
        <w:tc>
          <w:tcPr>
            <w:tcW w:type="dxa" w:w="5616"/>
            <w:vAlign w:val="top"/>
            <w:tcMar>
              <w:top w:w="80" w:type="dxa"/>
              <w:start w:w="80" w:type="dxa"/>
              <w:bottom w:w="80" w:type="dxa"/>
              <w:end w:w="80" w:type="dxa"/>
            </w:tcMar>
            <w:shd w:fill="F2F6FA"/>
          </w:tcPr>
          <w:p>
            <w:pPr>
              <w:spacing w:after="0"/>
            </w:pPr>
            <w:r>
              <w:rPr>
                <w:rFonts w:ascii="Arial" w:hAnsi="Arial"/>
                <w:sz w:val="15"/>
              </w:rPr>
              <w:t>Unit cost of filter replacement</w:t>
            </w:r>
          </w:p>
        </w:tc>
        <w:tc>
          <w:tcPr>
            <w:tcW w:type="dxa" w:w="1728"/>
            <w:vAlign w:val="top"/>
            <w:tcMar>
              <w:top w:w="80" w:type="dxa"/>
              <w:start w:w="80" w:type="dxa"/>
              <w:bottom w:w="80" w:type="dxa"/>
              <w:end w:w="80" w:type="dxa"/>
            </w:tcMar>
            <w:shd w:fill="F2F6FA"/>
          </w:tcPr>
          <w:p>
            <w:pPr>
              <w:spacing w:after="0"/>
            </w:pPr>
            <w:r>
              <w:rPr>
                <w:rFonts w:ascii="Arial" w:hAnsi="Arial"/>
                <w:sz w:val="15"/>
              </w:rPr>
              <w:t>USD action⁻¹</w:t>
            </w:r>
          </w:p>
        </w:tc>
        <w:tc>
          <w:tcPr>
            <w:tcW w:type="dxa" w:w="1224"/>
            <w:vAlign w:val="top"/>
            <w:tcMar>
              <w:top w:w="80" w:type="dxa"/>
              <w:start w:w="80" w:type="dxa"/>
              <w:bottom w:w="80" w:type="dxa"/>
              <w:end w:w="80" w:type="dxa"/>
            </w:tcMar>
            <w:shd w:fill="F2F6FA"/>
          </w:tcPr>
          <w:p>
            <w:pPr>
              <w:spacing w:after="0"/>
            </w:pPr>
            <w:r>
              <w:rPr>
                <w:rFonts w:ascii="Arial" w:hAnsi="Arial"/>
                <w:sz w:val="15"/>
              </w:rPr>
              <w:t>60</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r>
        <w:trPr>
          <w:cantSplit/>
        </w:trPr>
        <w:tc>
          <w:tcPr>
            <w:tcW w:type="dxa" w:w="1800"/>
            <w:vAlign w:val="top"/>
            <w:tcMar>
              <w:top w:w="80" w:type="dxa"/>
              <w:start w:w="80" w:type="dxa"/>
              <w:bottom w:w="80" w:type="dxa"/>
              <w:end w:w="80" w:type="dxa"/>
            </w:tcMar>
          </w:tcPr>
          <w:p>
            <w:pPr>
              <w:spacing w:after="0"/>
            </w:pPr>
            <w:r>
              <w:rPr>
                <w:rFonts w:ascii="Arial" w:hAnsi="Arial"/>
                <w:sz w:val="15"/>
              </w:rPr>
              <w:t>Maintenance and cost</w:t>
            </w:r>
          </w:p>
        </w:tc>
        <w:tc>
          <w:tcPr>
            <w:tcW w:type="dxa" w:w="1800"/>
            <w:vAlign w:val="top"/>
            <w:tcMar>
              <w:top w:w="80" w:type="dxa"/>
              <w:start w:w="80" w:type="dxa"/>
              <w:bottom w:w="80" w:type="dxa"/>
              <w:end w:w="80" w:type="dxa"/>
            </w:tcMar>
          </w:tcPr>
          <w:p>
            <w:pPr>
              <w:spacing w:after="0"/>
            </w:pPr>
            <w:r>
              <w:rPr>
                <w:rFonts w:ascii="Cambria Math" w:hAnsi="Cambria Math"/>
                <w:sz w:val="15"/>
              </w:rPr>
              <w:t>CHX</w:t>
            </w:r>
          </w:p>
        </w:tc>
        <w:tc>
          <w:tcPr>
            <w:tcW w:type="dxa" w:w="5616"/>
            <w:vAlign w:val="top"/>
            <w:tcMar>
              <w:top w:w="80" w:type="dxa"/>
              <w:start w:w="80" w:type="dxa"/>
              <w:bottom w:w="80" w:type="dxa"/>
              <w:end w:w="80" w:type="dxa"/>
            </w:tcMar>
          </w:tcPr>
          <w:p>
            <w:pPr>
              <w:spacing w:after="0"/>
            </w:pPr>
            <w:r>
              <w:rPr>
                <w:rFonts w:ascii="Arial" w:hAnsi="Arial"/>
                <w:sz w:val="15"/>
              </w:rPr>
              <w:t>Unit cost of heat-exchanger cleaning</w:t>
            </w:r>
          </w:p>
        </w:tc>
        <w:tc>
          <w:tcPr>
            <w:tcW w:type="dxa" w:w="1728"/>
            <w:vAlign w:val="top"/>
            <w:tcMar>
              <w:top w:w="80" w:type="dxa"/>
              <w:start w:w="80" w:type="dxa"/>
              <w:bottom w:w="80" w:type="dxa"/>
              <w:end w:w="80" w:type="dxa"/>
            </w:tcMar>
          </w:tcPr>
          <w:p>
            <w:pPr>
              <w:spacing w:after="0"/>
            </w:pPr>
            <w:r>
              <w:rPr>
                <w:rFonts w:ascii="Arial" w:hAnsi="Arial"/>
                <w:sz w:val="15"/>
              </w:rPr>
              <w:t>USD action⁻¹</w:t>
            </w:r>
          </w:p>
        </w:tc>
        <w:tc>
          <w:tcPr>
            <w:tcW w:type="dxa" w:w="1224"/>
            <w:vAlign w:val="top"/>
            <w:tcMar>
              <w:top w:w="80" w:type="dxa"/>
              <w:start w:w="80" w:type="dxa"/>
              <w:bottom w:w="80" w:type="dxa"/>
              <w:end w:w="80" w:type="dxa"/>
            </w:tcMar>
          </w:tcPr>
          <w:p>
            <w:pPr>
              <w:spacing w:after="0"/>
            </w:pPr>
            <w:r>
              <w:rPr>
                <w:rFonts w:ascii="Arial" w:hAnsi="Arial"/>
                <w:sz w:val="15"/>
              </w:rPr>
              <w:t>60</w:t>
            </w:r>
          </w:p>
        </w:tc>
        <w:tc>
          <w:tcPr>
            <w:tcW w:type="dxa" w:w="2880"/>
            <w:vAlign w:val="top"/>
            <w:tcMar>
              <w:top w:w="80" w:type="dxa"/>
              <w:start w:w="80" w:type="dxa"/>
              <w:bottom w:w="80" w:type="dxa"/>
              <w:end w:w="80" w:type="dxa"/>
            </w:tcMar>
          </w:tcPr>
          <w:p>
            <w:pPr>
              <w:spacing w:after="0"/>
            </w:pPr>
            <w:r>
              <w:rPr>
                <w:rFonts w:ascii="Arial" w:hAnsi="Arial"/>
                <w:sz w:val="15"/>
              </w:rPr>
            </w:r>
          </w:p>
        </w:tc>
      </w:tr>
      <w:tr>
        <w:trPr>
          <w:cantSplit/>
        </w:trPr>
        <w:tc>
          <w:tcPr>
            <w:tcW w:type="dxa" w:w="1800"/>
            <w:vAlign w:val="top"/>
            <w:tcMar>
              <w:top w:w="80" w:type="dxa"/>
              <w:start w:w="80" w:type="dxa"/>
              <w:bottom w:w="80" w:type="dxa"/>
              <w:end w:w="80" w:type="dxa"/>
            </w:tcMar>
            <w:shd w:fill="F2F6FA"/>
          </w:tcPr>
          <w:p>
            <w:pPr>
              <w:spacing w:after="0"/>
            </w:pPr>
            <w:r>
              <w:rPr>
                <w:rFonts w:ascii="Arial" w:hAnsi="Arial"/>
                <w:sz w:val="15"/>
              </w:rPr>
              <w:t>Maintenance and cost</w:t>
            </w:r>
          </w:p>
        </w:tc>
        <w:tc>
          <w:tcPr>
            <w:tcW w:type="dxa" w:w="1800"/>
            <w:vAlign w:val="top"/>
            <w:tcMar>
              <w:top w:w="80" w:type="dxa"/>
              <w:start w:w="80" w:type="dxa"/>
              <w:bottom w:w="80" w:type="dxa"/>
              <w:end w:w="80" w:type="dxa"/>
            </w:tcMar>
            <w:shd w:fill="F2F6FA"/>
          </w:tcPr>
          <w:p>
            <w:pPr>
              <w:spacing w:after="0"/>
            </w:pPr>
            <w:r>
              <w:rPr>
                <w:rFonts w:ascii="Cambria Math" w:hAnsi="Cambria Math"/>
                <w:sz w:val="15"/>
              </w:rPr>
              <w:t>Ctot,ₜ</w:t>
            </w:r>
          </w:p>
        </w:tc>
        <w:tc>
          <w:tcPr>
            <w:tcW w:type="dxa" w:w="5616"/>
            <w:vAlign w:val="top"/>
            <w:tcMar>
              <w:top w:w="80" w:type="dxa"/>
              <w:start w:w="80" w:type="dxa"/>
              <w:bottom w:w="80" w:type="dxa"/>
              <w:end w:w="80" w:type="dxa"/>
            </w:tcMar>
            <w:shd w:fill="F2F6FA"/>
          </w:tcPr>
          <w:p>
            <w:pPr>
              <w:spacing w:after="0"/>
            </w:pPr>
            <w:r>
              <w:rPr>
                <w:rFonts w:ascii="Arial" w:hAnsi="Arial"/>
                <w:sz w:val="15"/>
              </w:rPr>
              <w:t>Total period energy plus maintenance cost</w:t>
            </w:r>
          </w:p>
        </w:tc>
        <w:tc>
          <w:tcPr>
            <w:tcW w:type="dxa" w:w="1728"/>
            <w:vAlign w:val="top"/>
            <w:tcMar>
              <w:top w:w="80" w:type="dxa"/>
              <w:start w:w="80" w:type="dxa"/>
              <w:bottom w:w="80" w:type="dxa"/>
              <w:end w:w="80" w:type="dxa"/>
            </w:tcMar>
            <w:shd w:fill="F2F6FA"/>
          </w:tcPr>
          <w:p>
            <w:pPr>
              <w:spacing w:after="0"/>
            </w:pPr>
            <w:r>
              <w:rPr>
                <w:rFonts w:ascii="Arial" w:hAnsi="Arial"/>
                <w:sz w:val="15"/>
              </w:rPr>
              <w:t>USD</w:t>
            </w:r>
          </w:p>
        </w:tc>
        <w:tc>
          <w:tcPr>
            <w:tcW w:type="dxa" w:w="1224"/>
            <w:vAlign w:val="top"/>
            <w:tcMar>
              <w:top w:w="80" w:type="dxa"/>
              <w:start w:w="80" w:type="dxa"/>
              <w:bottom w:w="80" w:type="dxa"/>
              <w:end w:w="80" w:type="dxa"/>
            </w:tcMar>
            <w:shd w:fill="F2F6FA"/>
          </w:tcPr>
          <w:p>
            <w:pPr>
              <w:spacing w:after="0"/>
            </w:pPr>
            <w:r>
              <w:rPr>
                <w:rFonts w:ascii="Arial" w:hAnsi="Arial"/>
                <w:sz w:val="15"/>
              </w:rPr>
              <w:t>61</w:t>
            </w:r>
          </w:p>
        </w:tc>
        <w:tc>
          <w:tcPr>
            <w:tcW w:type="dxa" w:w="2880"/>
            <w:vAlign w:val="top"/>
            <w:tcMar>
              <w:top w:w="80" w:type="dxa"/>
              <w:start w:w="80" w:type="dxa"/>
              <w:bottom w:w="80" w:type="dxa"/>
              <w:end w:w="80" w:type="dxa"/>
            </w:tcMar>
            <w:shd w:fill="F2F6FA"/>
          </w:tcPr>
          <w:p>
            <w:pPr>
              <w:spacing w:after="0"/>
            </w:pPr>
            <w:r>
              <w:rPr>
                <w:rFonts w:ascii="Arial" w:hAnsi="Arial"/>
                <w:sz w:val="15"/>
              </w:rPr>
            </w:r>
          </w:p>
        </w:tc>
      </w:tr>
    </w:tbl>
    <w:p>
      <w:r>
        <w:rPr>
          <w:b/>
        </w:rPr>
        <w:t xml:space="preserve">Important interpretation: </w:t>
      </w:r>
      <w:r>
        <w:t>The nomenclature table defines symbols, but it does not convert empirical coefficients into literature constants. Coefficients and correction arrays that originate from the code must be reported as calibrated or assumed model parameters.</w:t>
      </w:r>
    </w:p>
    <w:p>
      <w:pPr>
        <w:pStyle w:val="Heading1"/>
      </w:pPr>
      <w:r>
        <w:t>2. Equation-to-reference map</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shd w:fill="1F4E78"/>
          </w:tcPr>
          <w:p>
            <w:r>
              <w:rPr>
                <w:b/>
                <w:color w:val="FFFFFF"/>
                <w:sz w:val="16"/>
              </w:rPr>
              <w:t>Equation range</w:t>
            </w:r>
          </w:p>
        </w:tc>
        <w:tc>
          <w:tcPr>
            <w:tcW w:type="dxa" w:w="4752"/>
            <w:shd w:fill="1F4E78"/>
          </w:tcPr>
          <w:p>
            <w:r>
              <w:rPr>
                <w:b/>
                <w:color w:val="FFFFFF"/>
                <w:sz w:val="16"/>
              </w:rPr>
              <w:t>Supporting reference(s)</w:t>
            </w:r>
          </w:p>
        </w:tc>
        <w:tc>
          <w:tcPr>
            <w:tcW w:type="dxa" w:w="4752"/>
            <w:shd w:fill="1F4E78"/>
          </w:tcPr>
          <w:p>
            <w:r>
              <w:rPr>
                <w:b/>
                <w:color w:val="FFFFFF"/>
                <w:sz w:val="16"/>
              </w:rPr>
              <w:t>Honest attribution statement</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1–18</w:t>
            </w:r>
          </w:p>
        </w:tc>
        <w:tc>
          <w:tcPr>
            <w:tcW w:type="dxa" w:w="4752"/>
            <w:tcMar>
              <w:top w:w="80" w:type="dxa"/>
              <w:start w:w="80" w:type="dxa"/>
              <w:bottom w:w="80" w:type="dxa"/>
              <w:end w:w="80" w:type="dxa"/>
            </w:tcMar>
            <w:vAlign w:val="top"/>
          </w:tcPr>
          <w:p>
            <w:pPr>
              <w:spacing w:after="0"/>
            </w:pPr>
            <w:r>
              <w:rPr>
                <w:rFonts w:ascii="Arial" w:hAnsi="Arial"/>
                <w:sz w:val="16"/>
              </w:rPr>
              <w:t>ASHRAE (2021); U.S. Department of Energy (2024)</w:t>
            </w:r>
          </w:p>
        </w:tc>
        <w:tc>
          <w:tcPr>
            <w:tcW w:type="dxa" w:w="4752"/>
            <w:tcMar>
              <w:top w:w="80" w:type="dxa"/>
              <w:start w:w="80" w:type="dxa"/>
              <w:bottom w:w="80" w:type="dxa"/>
              <w:end w:w="80" w:type="dxa"/>
            </w:tcMar>
            <w:vAlign w:val="top"/>
          </w:tcPr>
          <w:p>
            <w:pPr>
              <w:spacing w:after="0"/>
            </w:pPr>
            <w:r>
              <w:rPr>
                <w:rFonts w:ascii="Arial" w:hAnsi="Arial"/>
                <w:sz w:val="16"/>
              </w:rPr>
              <w:t>Physical structure is literature-based; reduced-order coefficients and switches are study-specific and require calibration/validation.</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19–25</w:t>
            </w:r>
          </w:p>
        </w:tc>
        <w:tc>
          <w:tcPr>
            <w:tcW w:type="dxa" w:w="4752"/>
            <w:tcMar>
              <w:top w:w="80" w:type="dxa"/>
              <w:start w:w="80" w:type="dxa"/>
              <w:bottom w:w="80" w:type="dxa"/>
              <w:end w:w="80" w:type="dxa"/>
            </w:tcMar>
            <w:vAlign w:val="top"/>
            <w:shd w:fill="F2F6FA"/>
          </w:tcPr>
          <w:p>
            <w:pPr>
              <w:spacing w:after="0"/>
            </w:pPr>
            <w:r>
              <w:rPr>
                <w:rFonts w:ascii="Arial" w:hAnsi="Arial"/>
                <w:sz w:val="16"/>
              </w:rPr>
              <w:t>Bacher and Madsen (2011); U.S. Department of Energy (2024)</w:t>
            </w:r>
          </w:p>
        </w:tc>
        <w:tc>
          <w:tcPr>
            <w:tcW w:type="dxa" w:w="4752"/>
            <w:tcMar>
              <w:top w:w="80" w:type="dxa"/>
              <w:start w:w="80" w:type="dxa"/>
              <w:bottom w:w="80" w:type="dxa"/>
              <w:end w:w="80" w:type="dxa"/>
            </w:tcMar>
            <w:vAlign w:val="top"/>
            <w:shd w:fill="F2F6FA"/>
          </w:tcPr>
          <w:p>
            <w:pPr>
              <w:spacing w:after="0"/>
            </w:pPr>
            <w:r>
              <w:rPr>
                <w:rFonts w:ascii="Arial" w:hAnsi="Arial"/>
                <w:sz w:val="16"/>
              </w:rPr>
              <w:t>RC/state-space concept is supported; the specific two-state discretization, blending fraction, and parameter values are the present model.</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26–29</w:t>
            </w:r>
          </w:p>
        </w:tc>
        <w:tc>
          <w:tcPr>
            <w:tcW w:type="dxa" w:w="4752"/>
            <w:tcMar>
              <w:top w:w="80" w:type="dxa"/>
              <w:start w:w="80" w:type="dxa"/>
              <w:bottom w:w="80" w:type="dxa"/>
              <w:end w:w="80" w:type="dxa"/>
            </w:tcMar>
            <w:vAlign w:val="top"/>
          </w:tcPr>
          <w:p>
            <w:pPr>
              <w:spacing w:after="0"/>
            </w:pPr>
            <w:r>
              <w:rPr>
                <w:rFonts w:ascii="Arial" w:hAnsi="Arial"/>
                <w:sz w:val="16"/>
              </w:rPr>
              <w:t>No external equation source</w:t>
            </w:r>
          </w:p>
        </w:tc>
        <w:tc>
          <w:tcPr>
            <w:tcW w:type="dxa" w:w="4752"/>
            <w:tcMar>
              <w:top w:w="80" w:type="dxa"/>
              <w:start w:w="80" w:type="dxa"/>
              <w:bottom w:w="80" w:type="dxa"/>
              <w:end w:w="80" w:type="dxa"/>
            </w:tcMar>
            <w:vAlign w:val="top"/>
          </w:tcPr>
          <w:p>
            <w:pPr>
              <w:spacing w:after="0"/>
            </w:pPr>
            <w:r>
              <w:rPr>
                <w:rFonts w:ascii="Arial" w:hAnsi="Arial"/>
                <w:sz w:val="16"/>
              </w:rPr>
              <w:t>Empirical monthly availability and minimum-load calibration developed for this study. Report and release all arrays.</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30</w:t>
            </w:r>
          </w:p>
        </w:tc>
        <w:tc>
          <w:tcPr>
            <w:tcW w:type="dxa" w:w="4752"/>
            <w:tcMar>
              <w:top w:w="80" w:type="dxa"/>
              <w:start w:w="80" w:type="dxa"/>
              <w:bottom w:w="80" w:type="dxa"/>
              <w:end w:w="80" w:type="dxa"/>
            </w:tcMar>
            <w:vAlign w:val="top"/>
            <w:shd w:fill="F2F6FA"/>
          </w:tcPr>
          <w:p>
            <w:pPr>
              <w:spacing w:after="0"/>
            </w:pPr>
            <w:r>
              <w:rPr>
                <w:rFonts w:ascii="Arial" w:hAnsi="Arial"/>
                <w:sz w:val="16"/>
              </w:rPr>
              <w:t>Kern and Seaton (1959)</w:t>
            </w:r>
          </w:p>
        </w:tc>
        <w:tc>
          <w:tcPr>
            <w:tcW w:type="dxa" w:w="4752"/>
            <w:tcMar>
              <w:top w:w="80" w:type="dxa"/>
              <w:start w:w="80" w:type="dxa"/>
              <w:bottom w:w="80" w:type="dxa"/>
              <w:end w:w="80" w:type="dxa"/>
            </w:tcMar>
            <w:vAlign w:val="top"/>
            <w:shd w:fill="F2F6FA"/>
          </w:tcPr>
          <w:p>
            <w:pPr>
              <w:spacing w:after="0"/>
            </w:pPr>
            <w:r>
              <w:rPr>
                <w:rFonts w:ascii="Arial" w:hAnsi="Arial"/>
                <w:sz w:val="16"/>
              </w:rPr>
              <w:t>Classical asymptotic fouling form.</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31–33</w:t>
            </w:r>
          </w:p>
        </w:tc>
        <w:tc>
          <w:tcPr>
            <w:tcW w:type="dxa" w:w="4752"/>
            <w:tcMar>
              <w:top w:w="80" w:type="dxa"/>
              <w:start w:w="80" w:type="dxa"/>
              <w:bottom w:w="80" w:type="dxa"/>
              <w:end w:w="80" w:type="dxa"/>
            </w:tcMar>
            <w:vAlign w:val="top"/>
          </w:tcPr>
          <w:p>
            <w:pPr>
              <w:spacing w:after="0"/>
            </w:pPr>
            <w:r>
              <w:rPr>
                <w:rFonts w:ascii="Arial" w:hAnsi="Arial"/>
                <w:sz w:val="16"/>
              </w:rPr>
              <w:t>ASHRAE (2017); Teng et al. (2022)</w:t>
            </w:r>
          </w:p>
        </w:tc>
        <w:tc>
          <w:tcPr>
            <w:tcW w:type="dxa" w:w="4752"/>
            <w:tcMar>
              <w:top w:w="80" w:type="dxa"/>
              <w:start w:w="80" w:type="dxa"/>
              <w:bottom w:w="80" w:type="dxa"/>
              <w:end w:w="80" w:type="dxa"/>
            </w:tcMar>
            <w:vAlign w:val="top"/>
          </w:tcPr>
          <w:p>
            <w:pPr>
              <w:spacing w:after="0"/>
            </w:pPr>
            <w:r>
              <w:rPr>
                <w:rFonts w:ascii="Arial" w:hAnsi="Arial"/>
                <w:sz w:val="16"/>
              </w:rPr>
              <w:t>Dust-loading/pressure-drop relationship is supported; linear dust growth, kclog, and the composite index are study-specific.</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34–35</w:t>
            </w:r>
          </w:p>
        </w:tc>
        <w:tc>
          <w:tcPr>
            <w:tcW w:type="dxa" w:w="4752"/>
            <w:tcMar>
              <w:top w:w="80" w:type="dxa"/>
              <w:start w:w="80" w:type="dxa"/>
              <w:bottom w:w="80" w:type="dxa"/>
              <w:end w:w="80" w:type="dxa"/>
            </w:tcMar>
            <w:vAlign w:val="top"/>
            <w:shd w:fill="F2F6FA"/>
          </w:tcPr>
          <w:p>
            <w:pPr>
              <w:spacing w:after="0"/>
            </w:pPr>
            <w:r>
              <w:rPr>
                <w:rFonts w:ascii="Arial" w:hAnsi="Arial"/>
                <w:sz w:val="16"/>
              </w:rPr>
              <w:t>U.S. Department of Energy (2024); ASHRAE (2021)</w:t>
            </w:r>
          </w:p>
        </w:tc>
        <w:tc>
          <w:tcPr>
            <w:tcW w:type="dxa" w:w="4752"/>
            <w:tcMar>
              <w:top w:w="80" w:type="dxa"/>
              <w:start w:w="80" w:type="dxa"/>
              <w:bottom w:w="80" w:type="dxa"/>
              <w:end w:w="80" w:type="dxa"/>
            </w:tcMar>
            <w:vAlign w:val="top"/>
            <w:shd w:fill="F2F6FA"/>
          </w:tcPr>
          <w:p>
            <w:pPr>
              <w:spacing w:after="0"/>
            </w:pPr>
            <w:r>
              <w:rPr>
                <w:rFonts w:ascii="Arial" w:hAnsi="Arial"/>
                <w:sz w:val="16"/>
              </w:rPr>
              <w:t>Temperature/COP performance-curve concept is supported. Coefficients 0.45, 0.30, 0.018, and 0.010 are empirical model assumptions, not standard coefficients.</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36–40</w:t>
            </w:r>
          </w:p>
        </w:tc>
        <w:tc>
          <w:tcPr>
            <w:tcW w:type="dxa" w:w="4752"/>
            <w:tcMar>
              <w:top w:w="80" w:type="dxa"/>
              <w:start w:w="80" w:type="dxa"/>
              <w:bottom w:w="80" w:type="dxa"/>
              <w:end w:w="80" w:type="dxa"/>
            </w:tcMar>
            <w:vAlign w:val="top"/>
          </w:tcPr>
          <w:p>
            <w:pPr>
              <w:spacing w:after="0"/>
            </w:pPr>
            <w:r>
              <w:rPr>
                <w:rFonts w:ascii="Arial" w:hAnsi="Arial"/>
                <w:sz w:val="16"/>
              </w:rPr>
              <w:t>ASHRAE (2021); U.S. Department of Energy (2024)</w:t>
            </w:r>
          </w:p>
        </w:tc>
        <w:tc>
          <w:tcPr>
            <w:tcW w:type="dxa" w:w="4752"/>
            <w:tcMar>
              <w:top w:w="80" w:type="dxa"/>
              <w:start w:w="80" w:type="dxa"/>
              <w:bottom w:w="80" w:type="dxa"/>
              <w:end w:w="80" w:type="dxa"/>
            </w:tcMar>
            <w:vAlign w:val="top"/>
          </w:tcPr>
          <w:p>
            <w:pPr>
              <w:spacing w:after="0"/>
            </w:pPr>
            <w:r>
              <w:rPr>
                <w:rFonts w:ascii="Arial" w:hAnsi="Arial"/>
                <w:sz w:val="16"/>
              </w:rPr>
              <w:t>Power-balance structure is conventional; monthly floors and degradation multipliers are study-specific.</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41–42</w:t>
            </w:r>
          </w:p>
        </w:tc>
        <w:tc>
          <w:tcPr>
            <w:tcW w:type="dxa" w:w="4752"/>
            <w:tcMar>
              <w:top w:w="80" w:type="dxa"/>
              <w:start w:w="80" w:type="dxa"/>
              <w:bottom w:w="80" w:type="dxa"/>
              <w:end w:w="80" w:type="dxa"/>
            </w:tcMar>
            <w:vAlign w:val="top"/>
            <w:shd w:fill="F2F6FA"/>
          </w:tcPr>
          <w:p>
            <w:pPr>
              <w:spacing w:after="0"/>
            </w:pPr>
            <w:r>
              <w:rPr>
                <w:rFonts w:ascii="Arial" w:hAnsi="Arial"/>
                <w:sz w:val="16"/>
              </w:rPr>
              <w:t>No external equation source</w:t>
            </w:r>
          </w:p>
        </w:tc>
        <w:tc>
          <w:tcPr>
            <w:tcW w:type="dxa" w:w="4752"/>
            <w:tcMar>
              <w:top w:w="80" w:type="dxa"/>
              <w:start w:w="80" w:type="dxa"/>
              <w:bottom w:w="80" w:type="dxa"/>
              <w:end w:w="80" w:type="dxa"/>
            </w:tcMar>
            <w:vAlign w:val="top"/>
            <w:shd w:fill="F2F6FA"/>
          </w:tcPr>
          <w:p>
            <w:pPr>
              <w:spacing w:after="0"/>
            </w:pPr>
            <w:r>
              <w:rPr>
                <w:rFonts w:ascii="Arial" w:hAnsi="Arial"/>
                <w:sz w:val="16"/>
              </w:rPr>
              <w:t>Explicit empirical calibration layers. They must not be described as universal physics.</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43</w:t>
            </w:r>
          </w:p>
        </w:tc>
        <w:tc>
          <w:tcPr>
            <w:tcW w:type="dxa" w:w="4752"/>
            <w:tcMar>
              <w:top w:w="80" w:type="dxa"/>
              <w:start w:w="80" w:type="dxa"/>
              <w:bottom w:w="80" w:type="dxa"/>
              <w:end w:w="80" w:type="dxa"/>
            </w:tcMar>
            <w:vAlign w:val="top"/>
          </w:tcPr>
          <w:p>
            <w:pPr>
              <w:spacing w:after="0"/>
            </w:pPr>
            <w:r>
              <w:rPr>
                <w:rFonts w:ascii="Arial" w:hAnsi="Arial"/>
                <w:sz w:val="16"/>
              </w:rPr>
              <w:t>ASHRAE (2021)</w:t>
            </w:r>
          </w:p>
        </w:tc>
        <w:tc>
          <w:tcPr>
            <w:tcW w:type="dxa" w:w="4752"/>
            <w:tcMar>
              <w:top w:w="80" w:type="dxa"/>
              <w:start w:w="80" w:type="dxa"/>
              <w:bottom w:w="80" w:type="dxa"/>
              <w:end w:w="80" w:type="dxa"/>
            </w:tcMar>
            <w:vAlign w:val="top"/>
          </w:tcPr>
          <w:p>
            <w:pPr>
              <w:spacing w:after="0"/>
            </w:pPr>
            <w:r>
              <w:rPr>
                <w:rFonts w:ascii="Arial" w:hAnsi="Arial"/>
                <w:sz w:val="16"/>
              </w:rPr>
              <w:t>Power-to-energy integration is a dimensional identity.</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44</w:t>
            </w:r>
          </w:p>
        </w:tc>
        <w:tc>
          <w:tcPr>
            <w:tcW w:type="dxa" w:w="4752"/>
            <w:tcMar>
              <w:top w:w="80" w:type="dxa"/>
              <w:start w:w="80" w:type="dxa"/>
              <w:bottom w:w="80" w:type="dxa"/>
              <w:end w:w="80" w:type="dxa"/>
            </w:tcMar>
            <w:vAlign w:val="top"/>
            <w:shd w:fill="F2F6FA"/>
          </w:tcPr>
          <w:p>
            <w:pPr>
              <w:spacing w:after="0"/>
            </w:pPr>
            <w:r>
              <w:rPr>
                <w:rFonts w:ascii="Arial" w:hAnsi="Arial"/>
                <w:sz w:val="16"/>
              </w:rPr>
              <w:t>World Resources Institute and World Business Council for Sustainable Development (2015)</w:t>
            </w:r>
          </w:p>
        </w:tc>
        <w:tc>
          <w:tcPr>
            <w:tcW w:type="dxa" w:w="4752"/>
            <w:tcMar>
              <w:top w:w="80" w:type="dxa"/>
              <w:start w:w="80" w:type="dxa"/>
              <w:bottom w:w="80" w:type="dxa"/>
              <w:end w:w="80" w:type="dxa"/>
            </w:tcMar>
            <w:vAlign w:val="top"/>
            <w:shd w:fill="F2F6FA"/>
          </w:tcPr>
          <w:p>
            <w:pPr>
              <w:spacing w:after="0"/>
            </w:pPr>
            <w:r>
              <w:rPr>
                <w:rFonts w:ascii="Arial" w:hAnsi="Arial"/>
                <w:sz w:val="16"/>
              </w:rPr>
              <w:t>Electricity use multiplied by a grid emission factor.</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45–47</w:t>
            </w:r>
          </w:p>
        </w:tc>
        <w:tc>
          <w:tcPr>
            <w:tcW w:type="dxa" w:w="4752"/>
            <w:tcMar>
              <w:top w:w="80" w:type="dxa"/>
              <w:start w:w="80" w:type="dxa"/>
              <w:bottom w:w="80" w:type="dxa"/>
              <w:end w:w="80" w:type="dxa"/>
            </w:tcMar>
            <w:vAlign w:val="top"/>
          </w:tcPr>
          <w:p>
            <w:pPr>
              <w:spacing w:after="0"/>
            </w:pPr>
            <w:r>
              <w:rPr>
                <w:rFonts w:ascii="Arial" w:hAnsi="Arial"/>
                <w:sz w:val="16"/>
              </w:rPr>
              <w:t>ASHRAE (2023), terminology only</w:t>
            </w:r>
          </w:p>
        </w:tc>
        <w:tc>
          <w:tcPr>
            <w:tcW w:type="dxa" w:w="4752"/>
            <w:tcMar>
              <w:top w:w="80" w:type="dxa"/>
              <w:start w:w="80" w:type="dxa"/>
              <w:bottom w:w="80" w:type="dxa"/>
              <w:end w:w="80" w:type="dxa"/>
            </w:tcMar>
            <w:vAlign w:val="top"/>
          </w:tcPr>
          <w:p>
            <w:pPr>
              <w:spacing w:after="0"/>
            </w:pPr>
            <w:r>
              <w:rPr>
                <w:rFonts w:ascii="Arial" w:hAnsi="Arial"/>
                <w:sz w:val="16"/>
              </w:rPr>
              <w:t>Current equation is an empirical indicator, not PMV, PPD, operative temperature, or Standard 55 compliance.</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48–51</w:t>
            </w:r>
          </w:p>
        </w:tc>
        <w:tc>
          <w:tcPr>
            <w:tcW w:type="dxa" w:w="4752"/>
            <w:tcMar>
              <w:top w:w="80" w:type="dxa"/>
              <w:start w:w="80" w:type="dxa"/>
              <w:bottom w:w="80" w:type="dxa"/>
              <w:end w:w="80" w:type="dxa"/>
            </w:tcMar>
            <w:vAlign w:val="top"/>
            <w:shd w:fill="F2F6FA"/>
          </w:tcPr>
          <w:p>
            <w:pPr>
              <w:spacing w:after="0"/>
            </w:pPr>
            <w:r>
              <w:rPr>
                <w:rFonts w:ascii="Arial" w:hAnsi="Arial"/>
                <w:sz w:val="16"/>
              </w:rPr>
              <w:t>Marler and Arora (2010)</w:t>
            </w:r>
          </w:p>
        </w:tc>
        <w:tc>
          <w:tcPr>
            <w:tcW w:type="dxa" w:w="4752"/>
            <w:tcMar>
              <w:top w:w="80" w:type="dxa"/>
              <w:start w:w="80" w:type="dxa"/>
              <w:bottom w:w="80" w:type="dxa"/>
              <w:end w:w="80" w:type="dxa"/>
            </w:tcMar>
            <w:vAlign w:val="top"/>
            <w:shd w:fill="F2F6FA"/>
          </w:tcPr>
          <w:p>
            <w:pPr>
              <w:spacing w:after="0"/>
            </w:pPr>
            <w:r>
              <w:rPr>
                <w:rFonts w:ascii="Arial" w:hAnsi="Arial"/>
                <w:sz w:val="16"/>
              </w:rPr>
              <w:t>Weighted-sum formulation; current carbon normalization duplicates the energy term under constant EFgrid.</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52–55</w:t>
            </w:r>
          </w:p>
        </w:tc>
        <w:tc>
          <w:tcPr>
            <w:tcW w:type="dxa" w:w="4752"/>
            <w:tcMar>
              <w:top w:w="80" w:type="dxa"/>
              <w:start w:w="80" w:type="dxa"/>
              <w:bottom w:w="80" w:type="dxa"/>
              <w:end w:w="80" w:type="dxa"/>
            </w:tcMar>
            <w:vAlign w:val="top"/>
          </w:tcPr>
          <w:p>
            <w:pPr>
              <w:spacing w:after="0"/>
            </w:pPr>
            <w:r>
              <w:rPr>
                <w:rFonts w:ascii="Arial" w:hAnsi="Arial"/>
                <w:sz w:val="16"/>
              </w:rPr>
              <w:t>Rubinstein (1999), conceptual only</w:t>
            </w:r>
          </w:p>
        </w:tc>
        <w:tc>
          <w:tcPr>
            <w:tcW w:type="dxa" w:w="4752"/>
            <w:tcMar>
              <w:top w:w="80" w:type="dxa"/>
              <w:start w:w="80" w:type="dxa"/>
              <w:bottom w:w="80" w:type="dxa"/>
              <w:end w:w="80" w:type="dxa"/>
            </w:tcMar>
            <w:vAlign w:val="top"/>
          </w:tcPr>
          <w:p>
            <w:pPr>
              <w:spacing w:after="0"/>
            </w:pPr>
            <w:r>
              <w:rPr>
                <w:rFonts w:ascii="Arial" w:hAnsi="Arial"/>
                <w:sz w:val="16"/>
              </w:rPr>
              <w:t>The code is cross-entropy-like but not a formal implementation of the published cross-entropy algorithm.</w:t>
            </w:r>
          </w:p>
        </w:tc>
      </w:tr>
      <w:tr>
        <w:trPr>
          <w:cantSplit/>
        </w:trPr>
        <w:tc>
          <w:tcPr>
            <w:tcW w:type="dxa" w:w="4752"/>
            <w:tcMar>
              <w:top w:w="80" w:type="dxa"/>
              <w:start w:w="80" w:type="dxa"/>
              <w:bottom w:w="80" w:type="dxa"/>
              <w:end w:w="80" w:type="dxa"/>
            </w:tcMar>
            <w:vAlign w:val="top"/>
            <w:shd w:fill="F2F6FA"/>
          </w:tcPr>
          <w:p>
            <w:pPr>
              <w:spacing w:after="0"/>
            </w:pPr>
            <w:r>
              <w:rPr>
                <w:rFonts w:ascii="Arial" w:hAnsi="Arial"/>
                <w:sz w:val="16"/>
              </w:rPr>
              <w:t>56–58</w:t>
            </w:r>
          </w:p>
        </w:tc>
        <w:tc>
          <w:tcPr>
            <w:tcW w:type="dxa" w:w="4752"/>
            <w:tcMar>
              <w:top w:w="80" w:type="dxa"/>
              <w:start w:w="80" w:type="dxa"/>
              <w:bottom w:w="80" w:type="dxa"/>
              <w:end w:w="80" w:type="dxa"/>
            </w:tcMar>
            <w:vAlign w:val="top"/>
            <w:shd w:fill="F2F6FA"/>
          </w:tcPr>
          <w:p>
            <w:pPr>
              <w:spacing w:after="0"/>
            </w:pPr>
            <w:r>
              <w:rPr>
                <w:rFonts w:ascii="Arial" w:hAnsi="Arial"/>
                <w:sz w:val="16"/>
              </w:rPr>
              <w:t>Jardine et al. (2006), classification only</w:t>
            </w:r>
          </w:p>
        </w:tc>
        <w:tc>
          <w:tcPr>
            <w:tcW w:type="dxa" w:w="4752"/>
            <w:tcMar>
              <w:top w:w="80" w:type="dxa"/>
              <w:start w:w="80" w:type="dxa"/>
              <w:bottom w:w="80" w:type="dxa"/>
              <w:end w:w="80" w:type="dxa"/>
            </w:tcMar>
            <w:vAlign w:val="top"/>
            <w:shd w:fill="F2F6FA"/>
          </w:tcPr>
          <w:p>
            <w:pPr>
              <w:spacing w:after="0"/>
            </w:pPr>
            <w:r>
              <w:rPr>
                <w:rFonts w:ascii="Arial" w:hAnsi="Arial"/>
                <w:sz w:val="16"/>
              </w:rPr>
              <w:t>Threshold logic and complete-restoration assumptions are study-specific.</w:t>
            </w:r>
          </w:p>
        </w:tc>
      </w:tr>
      <w:tr>
        <w:trPr>
          <w:cantSplit/>
        </w:trPr>
        <w:tc>
          <w:tcPr>
            <w:tcW w:type="dxa" w:w="4752"/>
            <w:tcMar>
              <w:top w:w="80" w:type="dxa"/>
              <w:start w:w="80" w:type="dxa"/>
              <w:bottom w:w="80" w:type="dxa"/>
              <w:end w:w="80" w:type="dxa"/>
            </w:tcMar>
            <w:vAlign w:val="top"/>
          </w:tcPr>
          <w:p>
            <w:pPr>
              <w:spacing w:after="0"/>
            </w:pPr>
            <w:r>
              <w:rPr>
                <w:rFonts w:ascii="Arial" w:hAnsi="Arial"/>
                <w:sz w:val="16"/>
              </w:rPr>
              <w:t>59–61</w:t>
            </w:r>
          </w:p>
        </w:tc>
        <w:tc>
          <w:tcPr>
            <w:tcW w:type="dxa" w:w="4752"/>
            <w:tcMar>
              <w:top w:w="80" w:type="dxa"/>
              <w:start w:w="80" w:type="dxa"/>
              <w:bottom w:w="80" w:type="dxa"/>
              <w:end w:w="80" w:type="dxa"/>
            </w:tcMar>
            <w:vAlign w:val="top"/>
          </w:tcPr>
          <w:p>
            <w:pPr>
              <w:spacing w:after="0"/>
            </w:pPr>
            <w:r>
              <w:rPr>
                <w:rFonts w:ascii="Arial" w:hAnsi="Arial"/>
                <w:sz w:val="16"/>
              </w:rPr>
              <w:t>Standard engineering cost accounting</w:t>
            </w:r>
          </w:p>
        </w:tc>
        <w:tc>
          <w:tcPr>
            <w:tcW w:type="dxa" w:w="4752"/>
            <w:tcMar>
              <w:top w:w="80" w:type="dxa"/>
              <w:start w:w="80" w:type="dxa"/>
              <w:bottom w:w="80" w:type="dxa"/>
              <w:end w:w="80" w:type="dxa"/>
            </w:tcMar>
            <w:vAlign w:val="top"/>
          </w:tcPr>
          <w:p>
            <w:pPr>
              <w:spacing w:after="0"/>
            </w:pPr>
            <w:r>
              <w:rPr>
                <w:rFonts w:ascii="Arial" w:hAnsi="Arial"/>
                <w:sz w:val="16"/>
              </w:rPr>
              <w:t>Direct algebraic accounting; tariffs and action costs are user/model inputs.</w:t>
            </w:r>
          </w:p>
        </w:tc>
      </w:tr>
    </w:tbl>
    <w:p>
      <w:pPr>
        <w:pStyle w:val="Heading1"/>
      </w:pPr>
      <w:r>
        <w:t>3. APA 7th edition references</w:t>
      </w:r>
    </w:p>
    <w:p>
      <w:pPr>
        <w:spacing w:after="100"/>
        <w:ind w:left="432" w:hanging="432"/>
      </w:pPr>
      <w:r>
        <w:t>American Society of Heating, Refrigerating and Air-Conditioning Engineers. (2021). 2021 ASHRAE handbook—Fundamentals. ASHRAE.</w:t>
      </w:r>
    </w:p>
    <w:p>
      <w:pPr>
        <w:spacing w:after="100"/>
        <w:ind w:left="432"/>
      </w:pPr>
      <w:r>
        <w:rPr>
          <w:b/>
        </w:rPr>
        <w:t xml:space="preserve">Use in this manuscript: </w:t>
      </w:r>
      <w:r>
        <w:t>General basis for building loads, heat transfer, infiltration, internal gains, fan/pump concepts, and HVAC design quantities (Eqs. 1–18 and 36–40).</w:t>
      </w:r>
    </w:p>
    <w:p>
      <w:pPr>
        <w:spacing w:after="100"/>
        <w:ind w:left="432" w:hanging="432"/>
      </w:pPr>
      <w:r>
        <w:t>American Society of Heating, Refrigerating and Air-Conditioning Engineers. (2017). ANSI/ASHRAE Standard 52.2-2017: Method of testing general ventilation air-cleaning devices for removal efficiency by particle size. ASHRAE.</w:t>
      </w:r>
    </w:p>
    <w:p>
      <w:pPr>
        <w:spacing w:after="100"/>
        <w:ind w:left="432"/>
      </w:pPr>
      <w:r>
        <w:rPr>
          <w:b/>
        </w:rPr>
        <w:t xml:space="preserve">Use in this manuscript: </w:t>
      </w:r>
      <w:r>
        <w:t>Supports the physical relationship among filter dust loading, pressure-drop increase, and final filter resistance. The linear coefficients in Eqs. 31–33 remain study-specific simplifications.</w:t>
      </w:r>
    </w:p>
    <w:p>
      <w:pPr>
        <w:spacing w:after="100"/>
        <w:ind w:left="432" w:hanging="432"/>
      </w:pPr>
      <w:r>
        <w:t>American Society of Heating, Refrigerating and Air-Conditioning Engineers. (2023). ANSI/ASHRAE Standard 55-2023: Thermal environmental conditions for human occupancy. ASHRAE.</w:t>
      </w:r>
    </w:p>
    <w:p>
      <w:pPr>
        <w:spacing w:after="100"/>
        <w:ind w:left="432"/>
      </w:pPr>
      <w:r>
        <w:rPr>
          <w:b/>
        </w:rPr>
        <w:t xml:space="preserve">Use in this manuscript: </w:t>
      </w:r>
      <w:r>
        <w:t>Used only to delimit terminology: Eqs. 45–47 are an empirical comfort indicator and are not a Standard 55 PMV/PPD compliance calculation.</w:t>
      </w:r>
    </w:p>
    <w:p>
      <w:pPr>
        <w:spacing w:after="100"/>
        <w:ind w:left="432" w:hanging="432"/>
      </w:pPr>
      <w:r>
        <w:t>Bacher, P., &amp; Madsen, H. (2011). Identifying suitable models for the heat dynamics of buildings. Energy and Buildings, 43(7), 1511–1522. https://doi.org/10.1016/j.enbuild.2011.02.005</w:t>
      </w:r>
    </w:p>
    <w:p>
      <w:pPr>
        <w:spacing w:after="100"/>
        <w:ind w:left="432"/>
      </w:pPr>
      <w:r>
        <w:rPr>
          <w:b/>
        </w:rPr>
        <w:t xml:space="preserve">Use in this manuscript: </w:t>
      </w:r>
      <w:r>
        <w:t>Primary basis for lumped RC/grey-box thermal-state modelling (Eqs. 19–25).</w:t>
      </w:r>
    </w:p>
    <w:p>
      <w:pPr>
        <w:spacing w:after="100"/>
        <w:ind w:left="432" w:hanging="432"/>
      </w:pPr>
      <w:r>
        <w:t>Jardine, A. K. S., Lin, D., &amp; Banjevic, D. (2006). A review on machinery diagnostics and prognostics implementing condition-based maintenance. Mechanical Systems and Signal Processing, 20(7), 1483–1510. https://doi.org/10.1016/j.ymssp.2005.09.012</w:t>
      </w:r>
    </w:p>
    <w:p>
      <w:pPr>
        <w:spacing w:after="100"/>
        <w:ind w:left="432"/>
      </w:pPr>
      <w:r>
        <w:rPr>
          <w:b/>
        </w:rPr>
        <w:t xml:space="preserve">Use in this manuscript: </w:t>
      </w:r>
      <w:r>
        <w:t>Supports the classification of S3 as condition-based maintenance based on current condition indicators (Eqs. 56–58), rather than forecast-based predictive maintenance.</w:t>
      </w:r>
    </w:p>
    <w:p>
      <w:pPr>
        <w:spacing w:after="100"/>
        <w:ind w:left="432" w:hanging="432"/>
      </w:pPr>
      <w:r>
        <w:t>Kern, D. Q., &amp; Seaton, R. E. (1959). A theoretical analysis of thermal surface fouling. British Chemical Engineering, 4(5), 258–262.</w:t>
      </w:r>
    </w:p>
    <w:p>
      <w:pPr>
        <w:spacing w:after="100"/>
        <w:ind w:left="432"/>
      </w:pPr>
      <w:r>
        <w:rPr>
          <w:b/>
        </w:rPr>
        <w:t xml:space="preserve">Use in this manuscript: </w:t>
      </w:r>
      <w:r>
        <w:t>Classical asymptotic fouling-growth basis for Eq. 30.</w:t>
      </w:r>
    </w:p>
    <w:p>
      <w:pPr>
        <w:spacing w:after="100"/>
        <w:ind w:left="432" w:hanging="432"/>
      </w:pPr>
      <w:r>
        <w:t>Marler, R. T., &amp; Arora, J. S. (2010). The weighted sum method for multi-objective optimization: New insights. Structural and Multidisciplinary Optimization, 41(6), 853–862. https://doi.org/10.1007/s00158-009-0460-7</w:t>
      </w:r>
    </w:p>
    <w:p>
      <w:pPr>
        <w:spacing w:after="100"/>
        <w:ind w:left="432"/>
      </w:pPr>
      <w:r>
        <w:rPr>
          <w:b/>
        </w:rPr>
        <w:t xml:space="preserve">Use in this manuscript: </w:t>
      </w:r>
      <w:r>
        <w:t>Weighted-sum objective formulation and interpretation of objective weights (Eqs. 49–51).</w:t>
      </w:r>
    </w:p>
    <w:p>
      <w:pPr>
        <w:spacing w:after="100"/>
        <w:ind w:left="432" w:hanging="432"/>
      </w:pPr>
      <w:r>
        <w:t>Rubinstein, R. Y. (1999). The cross-entropy method for combinatorial and continuous optimization. Methodology and Computing in Applied Probability, 1(2), 127–190. https://doi.org/10.1023/A:1010091220143</w:t>
      </w:r>
    </w:p>
    <w:p>
      <w:pPr>
        <w:spacing w:after="100"/>
        <w:ind w:left="432"/>
      </w:pPr>
      <w:r>
        <w:rPr>
          <w:b/>
        </w:rPr>
        <w:t xml:space="preserve">Use in this manuscript: </w:t>
      </w:r>
      <w:r>
        <w:t>Conceptual basis for iterative sampling, elite selection, and distribution updating. The implemented routine is only cross-entropy-like and should be named an elite Gaussian stochastic search (Eqs. 52–55).</w:t>
      </w:r>
    </w:p>
    <w:p>
      <w:pPr>
        <w:spacing w:after="100"/>
        <w:ind w:left="432" w:hanging="432"/>
      </w:pPr>
      <w:r>
        <w:t>Teng, G., Shi, G., &amp; Zhu, J. (2022). Influence of pleated geometry on the pressure drop of filters during dust loading process: Experimental and modelling study. Scientific Reports, 12, 20331. https://doi.org/10.1038/s41598-022-24838-7</w:t>
      </w:r>
    </w:p>
    <w:p>
      <w:pPr>
        <w:spacing w:after="100"/>
        <w:ind w:left="432"/>
      </w:pPr>
      <w:r>
        <w:rPr>
          <w:b/>
        </w:rPr>
        <w:t xml:space="preserve">Use in this manuscript: </w:t>
      </w:r>
      <w:r>
        <w:t>Experimental/model evidence that pressure drop evolves with deposited dust mass. The simple linear form in Eq. 32 is a reduced-order assumption requiring calibration.</w:t>
      </w:r>
    </w:p>
    <w:p>
      <w:pPr>
        <w:spacing w:after="100"/>
        <w:ind w:left="432" w:hanging="432"/>
      </w:pPr>
      <w:r>
        <w:t>U.S. Department of Energy. (2024). EnergyPlus engineering reference (Version 24.1). EnergyPlus.</w:t>
      </w:r>
    </w:p>
    <w:p>
      <w:pPr>
        <w:spacing w:after="100"/>
        <w:ind w:left="432"/>
      </w:pPr>
      <w:r>
        <w:rPr>
          <w:b/>
        </w:rPr>
        <w:t xml:space="preserve">Use in this manuscript: </w:t>
      </w:r>
      <w:r>
        <w:t>Reference framework for zone heat balance, thermostat load calculations, fan power, and performance-curve HVAC modelling (Eqs. 12–25 and 34–40).</w:t>
      </w:r>
    </w:p>
    <w:p>
      <w:pPr>
        <w:spacing w:after="100"/>
        <w:ind w:left="432" w:hanging="432"/>
      </w:pPr>
      <w:r>
        <w:t>World Resources Institute, &amp; World Business Council for Sustainable Development. (2015). GHG Protocol Scope 2 guidance: An amendment to the GHG Protocol corporate standard. World Resources Institute.</w:t>
      </w:r>
    </w:p>
    <w:p>
      <w:pPr>
        <w:spacing w:after="100"/>
        <w:ind w:left="432"/>
      </w:pPr>
      <w:r>
        <w:rPr>
          <w:b/>
        </w:rPr>
        <w:t xml:space="preserve">Use in this manuscript: </w:t>
      </w:r>
      <w:r>
        <w:t>Basis for calculating electricity-related operational emissions as activity data multiplied by an emission factor (Eq. 44).</w:t>
      </w:r>
    </w:p>
    <w:p>
      <w:r>
        <w:rPr>
          <w:b/>
        </w:rPr>
        <w:t xml:space="preserve">Citation warning. </w:t>
      </w:r>
      <w:r>
        <w:t>Do not cite the empirical monthly factors, operational-state factors, comfort coefficients, or exact COP-degradation coefficients as though they came from the references above. Those quantities are model-specific and require calibration, sensitivity analysis, and validation.</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