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The first step to building any webpage is creating a solid structure. 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activity, you will test your HTML skills to construct your style guide’s structure. 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may encounter unfamiliar HTML tags during this activity. Feel free to look up documentation for those tags.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after="200" w:before="20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Tips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tag to declare high-level containers for a website. They are used to thematically group content. Child elements within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should thematically fit into that section. For example, the color palette section of your style guide will only contain elements that are color palettes.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is loosely used to create a group of other HTML tags.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the CSS property and value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outline: 1px solid red;</w:t>
      </w:r>
      <w:r w:rsidDel="00000000" w:rsidR="00000000" w:rsidRPr="00000000">
        <w:rPr>
          <w:rtl w:val="0"/>
        </w:rPr>
        <w:t xml:space="preserve"> as a tool to visualize your content. Read more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200" w:before="20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0: Install VS Code Extension (we did this last class, skip)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Live Server VS Code Extension</w:t>
        </w:r>
      </w:hyperlink>
      <w:r w:rsidDel="00000000" w:rsidR="00000000" w:rsidRPr="00000000">
        <w:rPr>
          <w:rtl w:val="0"/>
        </w:rPr>
        <w:t xml:space="preserve"> page and download the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“Install” and confirm that you already have VS Code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browser pop-up prompting you to open the link in another application. Select “yes.”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will open. Click the “Install”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You will now be able to view your code in a “live” environment by clicking the “Go Live” button at the bottom of your VS Code window.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6076147" cy="12906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328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147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Building Sections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17.2 activity .zip on the Google drive, and download it and add it to your Git Hub Folder. Open VS Code and find the folder 17.2-activities and click on the unsolved folder. Select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, this is where we will be working for this activity.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Next, open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Figma Resource 17.2-USPS-Styleguide</w:t>
        </w:r>
      </w:hyperlink>
      <w:r w:rsidDel="00000000" w:rsidR="00000000" w:rsidRPr="00000000">
        <w:rPr>
          <w:rtl w:val="0"/>
        </w:rPr>
        <w:t xml:space="preserve">. You will be creating five section tags in your HTML file to recreate this style guide: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 header section containing a single image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 color palette section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 typography guide section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 section containing reusable UI elements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 logo section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tag with the class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as the first element nested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144703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44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Next, create the remaining four sections with the following respective classes in order: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colorPalette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uiElements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colorPalette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colorPalette</w:t>
      </w:r>
      <w:r w:rsidDel="00000000" w:rsidR="00000000" w:rsidRPr="00000000">
        <w:rPr>
          <w:rtl w:val="0"/>
        </w:rPr>
        <w:t xml:space="preserve"> section, add the following tags and values.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now “nesting”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with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“USPS Style Guide” between the opening and closing tags.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5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acts as the “Content” we went over yesterday</w:t>
      </w:r>
      <w:r w:rsidDel="00000000" w:rsidR="00000000" w:rsidRPr="00000000">
        <w:rPr/>
        <w:drawing>
          <wp:inline distB="114300" distT="114300" distL="114300" distR="114300">
            <wp:extent cx="2811749" cy="1514019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49" cy="151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</w:t>
      </w:r>
      <w:r w:rsidDel="00000000" w:rsidR="00000000" w:rsidRPr="00000000">
        <w:rPr>
          <w:b w:val="1"/>
          <w:u w:val="single"/>
          <w:rtl w:val="0"/>
        </w:rPr>
        <w:t xml:space="preserve">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“Primary Colors” between the opening and closing tags.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the</w:t>
      </w:r>
      <w:r w:rsidDel="00000000" w:rsidR="00000000" w:rsidRPr="00000000">
        <w:rPr>
          <w:b w:val="1"/>
          <w:u w:val="single"/>
          <w:rtl w:val="0"/>
        </w:rPr>
        <w:t xml:space="preserve"> 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colorContainer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Create two more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s within this one.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Give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the classes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swatch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darkBlue</w:t>
      </w:r>
      <w:r w:rsidDel="00000000" w:rsidR="00000000" w:rsidRPr="00000000">
        <w:rPr>
          <w:rtl w:val="0"/>
        </w:rPr>
        <w:t xml:space="preserve">. You can add multiple classes like this:</w:t>
      </w:r>
    </w:p>
    <w:tbl>
      <w:tblPr>
        <w:tblStyle w:val="Table1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before="200" w:lineRule="auto"/>
              <w:rPr>
                <w:color w:val="a2fca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class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"class1 class2"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&gt;...&lt;/div&gt;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Give the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hexCode</w:t>
      </w:r>
      <w:r w:rsidDel="00000000" w:rsidR="00000000" w:rsidRPr="00000000">
        <w:rPr>
          <w:rtl w:val="0"/>
        </w:rPr>
        <w:t xml:space="preserve"> and type “#333366” between the opening and closing tags.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#545454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#E3E3E3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#13A0F6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Your HTML should look like the following: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29175" cy="47672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“Text Colors” between the opening and closing tags.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#545454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“Alert Colors” between the opening and closing tags.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#F84848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#FC7705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#13A0F6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#8ABE48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Part 3: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typography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section, add the following tags and values.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“Typography” between the opening and closing tags.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with “Open Sans” between the opening and closing tags.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type_container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Within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add two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large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classes to the first tag with the text “Aa” between the opening and closing tags.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Add the text “Light” between the opening and closing tags of the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Repeat Part 3,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tag, the following text for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tag, and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.</w:t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“H1 - Open Sans Extrabold - size 50px &lt;br&gt; Line height 70px”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You will notice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tag in that text.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tag adds a line break to your text.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“H2 - Open Sans Bold - size 42px &lt;br&gt; Line height 60px”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“H3 - Open Sans Bold - size 34px &lt;br&gt; Line height 50px”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&lt;h4&gt;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6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“H4 - Open Sans Bold - size 26px &lt;br&gt; Line height 28px”</w:t>
      </w:r>
    </w:p>
    <w:p w:rsidR="00000000" w:rsidDel="00000000" w:rsidP="00000000" w:rsidRDefault="00000000" w:rsidRPr="00000000" w14:paraId="00000064">
      <w:pPr>
        <w:pageBreakBefore w:val="0"/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uiElements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“UI Elements” between the opening and closing tags.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with the text “Button” between the opening and closing tags.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buttonContain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Inside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add five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tags with the following classes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and the following text </w:t>
      </w:r>
      <w:r w:rsidDel="00000000" w:rsidR="00000000" w:rsidRPr="00000000">
        <w:rPr>
          <w:b w:val="1"/>
          <w:rtl w:val="0"/>
        </w:rPr>
        <w:t xml:space="preserve">within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danger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buttonContain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Inside this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add five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tags with the following classes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and the following text </w:t>
      </w:r>
      <w:r w:rsidDel="00000000" w:rsidR="00000000" w:rsidRPr="00000000">
        <w:rPr>
          <w:b w:val="1"/>
          <w:rtl w:val="0"/>
        </w:rPr>
        <w:t xml:space="preserve">within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primaryActive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successActive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dangerActive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Danger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warningActive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infoActive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Active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5: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imagery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7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Type “Logo” between the opening and closing tags.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7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four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tags with the following values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in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7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specifies the location of the image needed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7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images/Logo-dark.png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7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images/Logo-light.png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7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images/Logo-dark1.png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7"/>
        </w:numPr>
        <w:spacing w:after="200"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images/Logo-light-1.png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That’s it. Great job! You have now gained proficiency in creating a basic structure that can be modified by CSS.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Style w:val="Heading1"/>
      <w:spacing w:after="0" w:before="0" w:line="276" w:lineRule="auto"/>
      <w:rPr>
        <w:sz w:val="28"/>
        <w:szCs w:val="28"/>
      </w:rPr>
    </w:pPr>
    <w:bookmarkStart w:colFirst="0" w:colLast="0" w:name="_heading=h.3znysh7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1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17.2 | Containers and Structure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8E">
    <w:pPr>
      <w:pStyle w:val="Heading1"/>
      <w:spacing w:after="0" w:before="0" w:lineRule="auto"/>
      <w:rPr/>
    </w:pPr>
    <w:bookmarkStart w:colFirst="0" w:colLast="0" w:name="_heading=h.2et92p0" w:id="4"/>
    <w:bookmarkEnd w:id="4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Style w:val="Heading1"/>
      <w:jc w:val="center"/>
      <w:rPr>
        <w:rFonts w:ascii="Roboto" w:cs="Roboto" w:eastAsia="Roboto" w:hAnsi="Roboto"/>
      </w:rPr>
    </w:pPr>
    <w:bookmarkStart w:colFirst="0" w:colLast="0" w:name="_heading=h.tyjcwt" w:id="5"/>
    <w:bookmarkEnd w:id="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www.figma.com/file/MC3t4WcNMFxC1bowcjKGZo/17.2-01-USPS-Styleguide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cssref/pr_outline.asp" TargetMode="External"/><Relationship Id="rId8" Type="http://schemas.openxmlformats.org/officeDocument/2006/relationships/hyperlink" Target="https://marketplace.visualstudio.com/items?itemName=ritwickdey.Live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LY1MCJPcw84xZ0odQlvVW9cxzQ==">AMUW2mXXATE4xEbpXOQeKEOfAROqGdiXGAeTAe+jlSxwaSOZjmxBF3gM7t0kP/qfdbmT3AxrhVKao8U/f/hJsrtK3TC3YzwYAQMB/ZxIl1jbAzwcIq11bTLr/97Bim29L2s7rih2bexceFIpViUCnlGmzzy3VlwfTaHlaDVOGb25o7HgCekL2J6EiV638B/FTluQK7DO8ReD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