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Amateur Naturalist</w:t>
      </w:r>
    </w:p>
    <w:p>
      <w:r>
        <w:t>The history of the essay is a history of writers thinking in public, drafting the self in real time. Every translation is an argument about what a sentence was really doing. Every translation is an argument about what a sentence was really doing. The history of the essay is a history of writers thinking in public, drafting the self in real time. Cities remember in stone and asphalt what their residents forget in a generation.</w:t>
      </w:r>
    </w:p>
    <w:p>
      <w:r>
        <w:t>Every translation is an argument about what a sentence was really doing. We narrate our lives in the past tense while living them in the imperative. Every translation is an argument about what a sentence was really doing. The amateur naturalist notices what the specialist has learned to ignore. Cities remember in stone and asphalt what their residents forget in a generation.</w:t>
      </w:r>
    </w:p>
    <w:p>
      <w:r>
        <w:t>Attention is not a fixed resource but a habit trained by the environments we build for ourselves. The history of the essay is a history of writers thinking in public, drafting the self in real time. Every translation is an argument about what a sentence was really doing. The amateur naturalist notices what the specialist has learned to ignore. Attention is not a fixed resource but a habit trained by the environments we build for ourselves.</w:t>
      </w:r>
    </w:p>
    <w:p>
      <w:r>
        <w:t>Cities remember in stone and asphalt what their residents forget in a generation. The history of the essay is a history of writers thinking in public, drafting the self in real time. Slowness, in cooking as in reading, is not inefficiency but a different unit of measure. We narrate our lives in the past tense while living them in the imperative. Attention is not a fixed resource but a habit trained by the environments we build for ourselves.</w:t>
      </w:r>
    </w:p>
    <w:p>
      <w:r>
        <w:t>Attention is not a fixed resource but a habit trained by the environments we build for ourselves. The history of the essay is a history of writers thinking in public, drafting the self in real time. The history of the essay is a history of writers thinking in public, drafting the self in real time. The history of the essay is a history of writers thinking in public, drafting the self in real time. Attention is not a fixed resource but a habit trained by the environments we build for ourselves.</w:t>
      </w:r>
    </w:p>
    <w:p>
      <w:r>
        <w:t>Slowness, in cooking as in reading, is not inefficiency but a different unit of measure. Cities remember in stone and asphalt what their residents forget in a generation. Cities remember in stone and asphalt what their residents forget in a generation. Slowness, in cooking as in reading, is not inefficiency but a different unit of measure. Cities remember in stone and asphalt what their residents forget in a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Amateur Naturalist</dc:title>
  <dc:subject/>
  <dc:creator>HR Operations</dc:creator>
  <cp:keywords/>
  <dc:description>generated by python-docx</dc:description>
  <cp:lastModifiedBy/>
  <cp:revision>1</cp:revision>
  <dcterms:created xsi:type="dcterms:W3CDTF">2024-08-20T00:00:00Z</dcterms:created>
  <dcterms:modified xsi:type="dcterms:W3CDTF">2024-08-20T00:00:00Z</dcterms:modified>
  <cp:category/>
</cp:coreProperties>
</file>