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Visitor Access Policy</w:t>
      </w:r>
    </w:p>
    <w:p>
      <w:pPr>
        <w:pStyle w:val="Heading1"/>
      </w:pPr>
      <w:r>
        <w:t>Purpose</w:t>
      </w:r>
    </w:p>
    <w:p>
      <w:r>
        <w:t>Employees may work remotely up to three days per week with manager approval. Company equipment must be returned within five business days of separation. Requests for parental leave should be submitted at least four weeks in advance where practicable. Company equipment must be returned within five business days of separation.</w:t>
      </w:r>
    </w:p>
    <w:p>
      <w:pPr>
        <w:pStyle w:val="Heading1"/>
      </w:pPr>
      <w:r>
        <w:t>Policy</w:t>
      </w:r>
    </w:p>
    <w:p>
      <w:r>
        <w:t>Violations of this policy may result in disciplinary action up to and including termination. All visitors must sign in at reception and be escorted while on premises. Requests for parental leave should be submitted at least four weeks in advance where practicable. Company equipment must be returned within five business days of separation.</w:t>
      </w:r>
    </w:p>
    <w:p>
      <w:r>
        <w:t>Violations of this policy may result in disciplinary action up to and including termination. Expense reports must be submitted within thirty days of the incurred expense. Violations of this policy may result in disciplinary action up to and including termination. Employees may work remotely up to three days per week with manager approval.</w:t>
      </w:r>
    </w:p>
    <w:p>
      <w:r>
        <w:t>Annual security awareness training is mandatory for all staff and contractors. Employees may work remotely up to three days per week with manager approval. Employees may work remotely up to three days per week with manager approval. Employees may work remotely up to three days per week with manager approval.</w:t>
      </w:r>
    </w:p>
    <w:p>
      <w:pPr>
        <w:pStyle w:val="Heading1"/>
      </w:pPr>
      <w:r>
        <w:t>Enforcement</w:t>
      </w:r>
    </w:p>
    <w:p>
      <w:r>
        <w:t>Violations of this policy may result in disciplinary action up to and including termination. Requests for parental leave should be submitted at least four weeks in advance where practicable. Requests for parental leave should be submitted at least four weeks in advance where practicable. Requests for parental leave should be submitted at least four weeks in advance where practicable.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Visitor Access Policy</dc:title>
  <dc:subject/>
  <dc:creator>HR Operations</dc:creator>
  <cp:keywords/>
  <dc:description>generated by python-docx</dc:description>
  <cp:lastModifiedBy/>
  <cp:revision>1</cp:revision>
  <dcterms:created xsi:type="dcterms:W3CDTF">2022-04-16T00:00:00Z</dcterms:created>
  <dcterms:modified xsi:type="dcterms:W3CDTF">2022-04-16T00:00:00Z</dcterms:modified>
  <cp:category/>
</cp:coreProperties>
</file>