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Habit Formation Study</w:t>
      </w:r>
    </w:p>
    <w:p>
      <w:pPr>
        <w:pStyle w:val="Heading1"/>
      </w:pPr>
      <w:r>
        <w:t>Methods</w:t>
      </w:r>
    </w:p>
    <w:p>
      <w:r>
        <w:t>Ethics approval was obtained from the institutional review board. Data were collected across four field sites between March and September. Limitations include self-reported measures and a modest sample size. The intervention group showed a twelve percent improvement relative to control.</w:t>
      </w:r>
    </w:p>
    <w:p>
      <w:r>
        <w:t>Findings are consistent with prior work on habit formation in adults. The intervention group showed a twelve percent improvement relative to control. Participants completed a baseline survey followed by three weekly follow-ups. Findings are consistent with prior work on habit formation in adults.</w:t>
      </w:r>
    </w:p>
    <w:p>
      <w:pPr>
        <w:pStyle w:val="Heading1"/>
      </w:pPr>
      <w:r>
        <w:t>Results</w:t>
      </w:r>
    </w:p>
    <w:p>
      <w:r>
        <w:t>Future work should examine longer-term retention of the observed effects. Participants completed a baseline survey followed by three weekly follow-ups. Data were collected across four field sites between March and September. Participants completed a baseline survey followed by three weekly follow-ups.</w:t>
      </w:r>
    </w:p>
    <w:p>
      <w:r>
        <w:t>Future work should examine longer-term retention of the observed effects. Future work should examine longer-term retention of the observed effects. Ethics approval was obtained from the institutional review board. Future work should examine longer-term retention of the observed effects.</w:t>
      </w:r>
    </w:p>
    <w:p>
      <w:pPr>
        <w:pStyle w:val="Heading1"/>
      </w:pPr>
      <w:r>
        <w:t>Limitations</w:t>
      </w:r>
    </w:p>
    <w:p>
      <w:r>
        <w:t>Ethics approval was obtained from the institutional review board. Limitations include self-reported measures and a modest sample size. Findings are consistent with prior work on habit formation in adults. Findings are consistent with prior work on habit formation in adults.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 Formation Study</dc:title>
  <dc:subject/>
  <dc:creator>Legal Department</dc:creator>
  <cp:keywords/>
  <dc:description>generated by python-docx</dc:description>
  <cp:lastModifiedBy/>
  <cp:revision>1</cp:revision>
  <dcterms:created xsi:type="dcterms:W3CDTF">2023-05-09T00:00:00Z</dcterms:created>
  <dcterms:modified xsi:type="dcterms:W3CDTF">2023-05-09T00:00:00Z</dcterms:modified>
  <cp:category/>
</cp:coreProperties>
</file>