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 Program Evaluation</w:t>
      </w:r>
    </w:p>
    <w:p>
      <w:pPr>
        <w:pStyle w:val="Heading1"/>
      </w:pPr>
      <w:r>
        <w:t>Methods</w:t>
      </w:r>
    </w:p>
    <w:p>
      <w:r>
        <w:t>Future work should examine longer-term retention of the observed effects. The intervention group showed a twelve percent improvement relative to control. Limitations include self-reported measures and a modest sample size. The intervention group showed a twelve percent improvement relative to control.</w:t>
      </w:r>
    </w:p>
    <w:p>
      <w:r>
        <w:t>Ethics approval was obtained from the institutional review board. The intervention group showed a twelve percent improvement relative to control. Participants completed a baseline survey followed by three weekly follow-ups. Future work should examine longer-term retention of the observed effects.</w:t>
      </w:r>
    </w:p>
    <w:p>
      <w:pPr>
        <w:pStyle w:val="Heading1"/>
      </w:pPr>
      <w:r>
        <w:t>Results</w:t>
      </w:r>
    </w:p>
    <w:p>
      <w:r>
        <w:t>Data were collected across four field sites between March and September. Data were collected across four field sites between March and September. Limitations include self-reported measures and a modest sample size. Participants completed a baseline survey followed by three weekly follow-ups.</w:t>
      </w:r>
    </w:p>
    <w:p>
      <w:r>
        <w:t>Participants completed a baseline survey followed by three weekly follow-ups. Data were collected across four field sites between March and September. Ethics approval was obtained from the institutional review board. Findings are consistent with prior work on habit formation in adults.</w:t>
      </w:r>
    </w:p>
    <w:p>
      <w:pPr>
        <w:pStyle w:val="Heading1"/>
      </w:pPr>
      <w:r>
        <w:t>Limitations</w:t>
      </w:r>
    </w:p>
    <w:p>
      <w:r>
        <w:t>Participants completed a baseline survey followed by three weekly follow-ups. The intervention group showed a twelve percent improvement relative to control. Data were collected across four field sites between March and September. Ethics approval was obtained from the institutional review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Program Evaluation</dc:title>
  <dc:subject/>
  <dc:creator>HR Operations</dc:creator>
  <cp:keywords/>
  <dc:description>generated by python-docx</dc:description>
  <cp:lastModifiedBy/>
  <cp:revision>1</cp:revision>
  <dcterms:created xsi:type="dcterms:W3CDTF">2025-12-19T00:00:00Z</dcterms:created>
  <dcterms:modified xsi:type="dcterms:W3CDTF">2025-12-19T00:00:00Z</dcterms:modified>
  <cp:category/>
</cp:coreProperties>
</file>