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85FA5"/>
          <w:sz w:val="52"/>
          <w:szCs w:val="52"/>
        </w:rPr>
        <w:t xml:space="preserve">UAE REAL ESTATE MARKET</w:t>
      </w:r>
    </w:p>
    <w:p>
      <w:pPr>
        <w:spacing w:after="240" w:before="0"/>
        <w:jc w:val="center"/>
      </w:pPr>
      <w:r>
        <w:rPr>
          <w:rFonts w:ascii="Arial" w:cs="Arial" w:eastAsia="Arial" w:hAnsi="Arial"/>
          <w:b/>
          <w:bCs/>
          <w:color w:val="185FA5"/>
          <w:sz w:val="52"/>
          <w:szCs w:val="52"/>
        </w:rPr>
        <w:t xml:space="preserve">INTELLIGENCE REPORT</w:t>
      </w:r>
    </w:p>
    <w:p>
      <w:pPr>
        <w:spacing w:after="80" w:before="80"/>
        <w:jc w:val="center"/>
      </w:pPr>
      <w:r>
        <w:rPr>
          <w:rFonts w:ascii="Arial" w:cs="Arial" w:eastAsia="Arial" w:hAnsi="Arial"/>
          <w:color w:val="444444"/>
          <w:sz w:val="26"/>
          <w:szCs w:val="26"/>
        </w:rPr>
        <w:t xml:space="preserve">Rental Market Analysis — 73,742 Active Listings</w:t>
      </w:r>
    </w:p>
    <w:p>
      <w:pPr>
        <w:spacing w:after="1440" w:before="80"/>
        <w:jc w:val="center"/>
      </w:pPr>
      <w:r>
        <w:rPr>
          <w:rFonts w:ascii="Arial" w:cs="Arial" w:eastAsia="Arial" w:hAnsi="Arial"/>
          <w:color w:val="888888"/>
          <w:sz w:val="22"/>
          <w:szCs w:val="22"/>
        </w:rPr>
        <w:t xml:space="preserve">Dubai | Abu Dhabi | Sharjah | Ajman | RAK | Al Ain | Fujairah</w:t>
      </w:r>
    </w:p>
    <w:p>
      <w:pPr>
        <w:pBdr>
          <w:bottom w:val="single" w:color="CCCCCC" w:sz="1"/>
        </w:pBdr>
        <w:spacing w:after="160" w:before="160"/>
      </w:pPr>
    </w:p>
    <w:p>
      <w:pPr>
        <w:pStyle w:val="Heading1"/>
        <w:spacing w:after="160" w:before="320"/>
      </w:pPr>
      <w:r>
        <w:rPr>
          <w:rFonts w:ascii="Arial" w:cs="Arial" w:eastAsia="Arial" w:hAnsi="Arial"/>
          <w:b/>
          <w:bCs/>
          <w:color w:val="185FA5"/>
          <w:sz w:val="32"/>
          <w:szCs w:val="32"/>
        </w:rPr>
        <w:t xml:space="preserve">1. Executive Summary</w:t>
      </w:r>
    </w:p>
    <w:p>
      <w:pPr>
        <w:spacing w:after="120" w:before="80"/>
      </w:pPr>
      <w:r>
        <w:rPr>
          <w:rFonts w:ascii="Arial" w:cs="Arial" w:eastAsia="Arial" w:hAnsi="Arial"/>
          <w:sz w:val="22"/>
          <w:szCs w:val="22"/>
        </w:rPr>
        <w:t xml:space="preserve">This report analyzes 73,742 active rental listings across eight UAE emirates, providing a comprehensive view of the residential rental market. All listings follow an annual rent payment frequency. The dataset reveals a market defined by sharp geographic segmentation, significant furnished-unit premium, and markedly different absorption speeds across cities.</w:t>
      </w:r>
    </w:p>
    <w:p>
      <w:pPr>
        <w:spacing w:after="80" w:before="140"/>
      </w:pPr>
      <w:r>
        <w:rPr>
          <w:rFonts w:ascii="Arial" w:cs="Arial" w:eastAsia="Arial" w:hAnsi="Arial"/>
          <w:b/>
          <w:bCs/>
          <w:sz w:val="22"/>
          <w:szCs w:val="22"/>
        </w:rPr>
        <w:t xml:space="preserve">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bCs/>
                <w:sz w:val="22"/>
                <w:szCs w:val="22"/>
              </w:rPr>
              <w:t xml:space="preserve">Total active listings</w:t>
            </w:r>
          </w:p>
        </w:tc>
        <w:tc>
          <w:tcPr>
            <w:tcW w:type="dxa" w:w="624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val="false"/>
                <w:bCs w:val="false"/>
                <w:sz w:val="22"/>
                <w:szCs w:val="22"/>
              </w:rPr>
              <w:t xml:space="preserve">73,742 properties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Average annual rent (all UAE)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AED 147,925</w:t>
            </w:r>
          </w:p>
        </w:tc>
      </w:tr>
      <w:tr>
        <w:tc>
          <w:tcPr>
            <w:tcW w:type="dxa" w:w="312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bCs/>
                <w:sz w:val="22"/>
                <w:szCs w:val="22"/>
              </w:rPr>
              <w:t xml:space="preserve">Median annual rent (all UAE)</w:t>
            </w:r>
          </w:p>
        </w:tc>
        <w:tc>
          <w:tcPr>
            <w:tcW w:type="dxa" w:w="624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val="false"/>
                <w:bCs w:val="false"/>
                <w:sz w:val="22"/>
                <w:szCs w:val="22"/>
              </w:rPr>
              <w:t xml:space="preserve">AED 98,000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Median days on market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52 days</w:t>
            </w:r>
          </w:p>
        </w:tc>
      </w:tr>
      <w:tr>
        <w:tc>
          <w:tcPr>
            <w:tcW w:type="dxa" w:w="312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bCs/>
                <w:sz w:val="22"/>
                <w:szCs w:val="22"/>
              </w:rPr>
              <w:t xml:space="preserve">Average property size</w:t>
            </w:r>
          </w:p>
        </w:tc>
        <w:tc>
          <w:tcPr>
            <w:tcW w:type="dxa" w:w="624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val="false"/>
                <w:bCs w:val="false"/>
                <w:sz w:val="22"/>
                <w:szCs w:val="22"/>
              </w:rPr>
              <w:t xml:space="preserve">2,054 sq ft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Furnished listings share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21.3% (15,680 units)</w:t>
            </w:r>
          </w:p>
        </w:tc>
      </w:tr>
      <w:tr>
        <w:tc>
          <w:tcPr>
            <w:tcW w:type="dxa" w:w="312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bCs/>
                <w:sz w:val="22"/>
                <w:szCs w:val="22"/>
              </w:rPr>
              <w:t xml:space="preserve">Dominant property type</w:t>
            </w:r>
          </w:p>
        </w:tc>
        <w:tc>
          <w:tcPr>
            <w:tcW w:type="dxa" w:w="624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r>
              <w:rPr>
                <w:rFonts w:ascii="Arial" w:cs="Arial" w:eastAsia="Arial" w:hAnsi="Arial"/>
                <w:b w:val="false"/>
                <w:bCs w:val="false"/>
                <w:sz w:val="22"/>
                <w:szCs w:val="22"/>
              </w:rPr>
              <w:t xml:space="preserve">Apartments (76.7% of listings)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Most active city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2"/>
                <w:szCs w:val="22"/>
              </w:rPr>
              <w:t xml:space="preserve">Dubai (46.5% of all listings)</w:t>
            </w:r>
          </w:p>
        </w:tc>
      </w:tr>
    </w:tbl>
    <w:p>
      <w:pPr>
        <w:pBdr>
          <w:bottom w:val="single" w:color="CCCCCC" w:sz="1"/>
        </w:pBdr>
        <w:spacing w:after="160" w:before="160"/>
      </w:pPr>
    </w:p>
    <w:p>
      <w:pPr>
        <w:pStyle w:val="Heading1"/>
        <w:spacing w:after="160" w:before="320"/>
      </w:pPr>
      <w:r>
        <w:rPr>
          <w:rFonts w:ascii="Arial" w:cs="Arial" w:eastAsia="Arial" w:hAnsi="Arial"/>
          <w:b/>
          <w:bCs/>
          <w:color w:val="185FA5"/>
          <w:sz w:val="32"/>
          <w:szCs w:val="32"/>
        </w:rPr>
        <w:t xml:space="preserve">2. Market Overview</w:t>
      </w:r>
    </w:p>
    <w:p>
      <w:pPr>
        <w:pStyle w:val="Heading2"/>
        <w:spacing w:after="120" w:before="240"/>
      </w:pPr>
      <w:r>
        <w:rPr>
          <w:rFonts w:ascii="Arial" w:cs="Arial" w:eastAsia="Arial" w:hAnsi="Arial"/>
          <w:b/>
          <w:bCs/>
          <w:color w:val="1D4E7A"/>
          <w:sz w:val="26"/>
          <w:szCs w:val="26"/>
        </w:rPr>
        <w:t xml:space="preserve">2.1 City Distribution &amp; Pricing</w:t>
      </w:r>
    </w:p>
    <w:p>
      <w:pPr>
        <w:spacing w:after="120" w:before="80"/>
      </w:pPr>
      <w:r>
        <w:rPr>
          <w:rFonts w:ascii="Arial" w:cs="Arial" w:eastAsia="Arial" w:hAnsi="Arial"/>
          <w:sz w:val="22"/>
          <w:szCs w:val="22"/>
        </w:rPr>
        <w:t xml:space="preserve">Dubai is the dominant market by listing volume and pricing power, commanding a median annual rent of AED 145,000 — nearly 1.6× Abu Dhabi's median of AED 90,000 and 3.8× Sharjah's AED 37,990.</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440"/>
        <w:gridCol w:w="1440"/>
        <w:gridCol w:w="1440"/>
        <w:gridCol w:w="1320"/>
      </w:tblGrid>
      <w:tr>
        <w:trPr>
          <w:tblHeader/>
        </w:trPr>
        <w:tc>
          <w:tcPr>
            <w:tcW w:type="dxa" w:w="216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City</w:t>
            </w:r>
          </w:p>
        </w:tc>
        <w:tc>
          <w:tcPr>
            <w:tcW w:type="dxa" w:w="156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Listings</w:t>
            </w:r>
          </w:p>
        </w:tc>
        <w:tc>
          <w:tcPr>
            <w:tcW w:type="dxa" w:w="14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Avg Rent (AED)</w:t>
            </w:r>
          </w:p>
        </w:tc>
        <w:tc>
          <w:tcPr>
            <w:tcW w:type="dxa" w:w="14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Median Rent</w:t>
            </w:r>
          </w:p>
        </w:tc>
        <w:tc>
          <w:tcPr>
            <w:tcW w:type="dxa" w:w="14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Avg Days</w:t>
            </w:r>
          </w:p>
        </w:tc>
        <w:tc>
          <w:tcPr>
            <w:tcW w:type="dxa" w:w="132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AED/sqft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Dubai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34,250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213,366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145,000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132</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Abu Dhabi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23,324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115,262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90,000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87</w:t>
            </w:r>
          </w:p>
        </w:tc>
        <w:tc>
          <w:tcPr>
            <w:tcW w:type="dxa" w:w="1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Sharjah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9,516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47,883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37,990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38</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Ajman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4,704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68,247</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45,000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72</w:t>
            </w:r>
          </w:p>
        </w:tc>
        <w:tc>
          <w:tcPr>
            <w:tcW w:type="dxa" w:w="1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27</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Ras Al Khaimah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816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77,539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58,000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46</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Al Ain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1,040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64,640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50,000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115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Fujairah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73,593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55,000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w:t>
            </w:r>
          </w:p>
        </w:tc>
      </w:tr>
    </w:tbl>
    <w:p>
      <w:pPr>
        <w:spacing w:after="80" w:before="80"/>
      </w:pPr>
    </w:p>
    <w:p>
      <w:pPr>
        <w:pStyle w:val="Heading2"/>
        <w:spacing w:after="120" w:before="240"/>
      </w:pPr>
      <w:r>
        <w:rPr>
          <w:rFonts w:ascii="Arial" w:cs="Arial" w:eastAsia="Arial" w:hAnsi="Arial"/>
          <w:b/>
          <w:bCs/>
          <w:color w:val="1D4E7A"/>
          <w:sz w:val="26"/>
          <w:szCs w:val="26"/>
        </w:rPr>
        <w:t xml:space="preserve">2.2 Property Type Breakdown</w:t>
      </w:r>
    </w:p>
    <w:p>
      <w:pPr>
        <w:spacing w:after="120" w:before="80"/>
      </w:pPr>
      <w:r>
        <w:rPr>
          <w:rFonts w:ascii="Arial" w:cs="Arial" w:eastAsia="Arial" w:hAnsi="Arial"/>
          <w:sz w:val="22"/>
          <w:szCs w:val="22"/>
        </w:rPr>
        <w:t xml:space="preserve">Apartments dominate the market with 56,534 listings (76.7%), followed by Villas (12,883 / 17.5%) and Townhouses (3,421 / 4.6%). Despite their small share, Penthouses command the highest average rent at AED 481,137 — 4.4× the apartment average.</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80"/>
        <w:gridCol w:w="2380"/>
      </w:tblGrid>
      <w:tr>
        <w:trPr>
          <w:tblHeader/>
        </w:trPr>
        <w:tc>
          <w:tcPr>
            <w:tcW w:type="dxa" w:w="260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Property type</w:t>
            </w:r>
          </w:p>
        </w:tc>
        <w:tc>
          <w:tcPr>
            <w:tcW w:type="dxa" w:w="200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Listings</w:t>
            </w:r>
          </w:p>
        </w:tc>
        <w:tc>
          <w:tcPr>
            <w:tcW w:type="dxa" w:w="238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Avg annual rent (AED)</w:t>
            </w:r>
          </w:p>
        </w:tc>
        <w:tc>
          <w:tcPr>
            <w:tcW w:type="dxa" w:w="238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Share of market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56,534</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109,638</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76.7%</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Villa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12,883</w:t>
            </w:r>
          </w:p>
        </w:tc>
        <w:tc>
          <w:tcPr>
            <w:tcW w:type="dxa" w:w="2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283,802</w:t>
            </w:r>
          </w:p>
        </w:tc>
        <w:tc>
          <w:tcPr>
            <w:tcW w:type="dxa" w:w="2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17.5%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Townhouse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3,421</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191,454</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Hotel Apartment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465</w:t>
            </w:r>
          </w:p>
        </w:tc>
        <w:tc>
          <w:tcPr>
            <w:tcW w:type="dxa" w:w="2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225,704</w:t>
            </w:r>
          </w:p>
        </w:tc>
        <w:tc>
          <w:tcPr>
            <w:tcW w:type="dxa" w:w="2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Penthouse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481,137</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0.4%</w:t>
            </w:r>
          </w:p>
        </w:tc>
      </w:tr>
    </w:tbl>
    <w:p>
      <w:pPr>
        <w:spacing w:after="80" w:before="80"/>
      </w:pPr>
    </w:p>
    <w:p>
      <w:pPr>
        <w:pBdr>
          <w:bottom w:val="single" w:color="CCCCCC" w:sz="1"/>
        </w:pBdr>
        <w:spacing w:after="160" w:before="160"/>
      </w:pPr>
    </w:p>
    <w:p>
      <w:pPr>
        <w:pStyle w:val="Heading1"/>
        <w:spacing w:after="160" w:before="320"/>
      </w:pPr>
      <w:r>
        <w:rPr>
          <w:rFonts w:ascii="Arial" w:cs="Arial" w:eastAsia="Arial" w:hAnsi="Arial"/>
          <w:b/>
          <w:bCs/>
          <w:color w:val="185FA5"/>
          <w:sz w:val="32"/>
          <w:szCs w:val="32"/>
        </w:rPr>
        <w:t xml:space="preserve">3. Geographic Insights</w:t>
      </w:r>
    </w:p>
    <w:p>
      <w:pPr>
        <w:pStyle w:val="Heading2"/>
        <w:spacing w:after="120" w:before="240"/>
      </w:pPr>
      <w:r>
        <w:rPr>
          <w:rFonts w:ascii="Arial" w:cs="Arial" w:eastAsia="Arial" w:hAnsi="Arial"/>
          <w:b/>
          <w:bCs/>
          <w:color w:val="1D4E7A"/>
          <w:sz w:val="26"/>
          <w:szCs w:val="26"/>
        </w:rPr>
        <w:t xml:space="preserve">3.1 Premium Neighborhoods (Dubai)</w:t>
      </w:r>
    </w:p>
    <w:p>
      <w:pPr>
        <w:spacing w:after="120" w:before="80"/>
      </w:pPr>
      <w:r>
        <w:rPr>
          <w:rFonts w:ascii="Arial" w:cs="Arial" w:eastAsia="Arial" w:hAnsi="Arial"/>
          <w:sz w:val="22"/>
          <w:szCs w:val="22"/>
        </w:rPr>
        <w:t xml:space="preserve">Dubai's premium neighborhoods exhibit significant rent stratification. Bluewaters Island and Palm Jumeirah define the ultra-luxury ceiling, while Downtown Dubai and Business Bay offer prime-location value at comparatively lower price points with high liquidity.</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Neighborhood</w:t>
            </w:r>
          </w:p>
        </w:tc>
        <w:tc>
          <w:tcPr>
            <w:tcW w:type="dxa" w:w="212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Avg Rent (AED)</w:t>
            </w:r>
          </w:p>
        </w:tc>
        <w:tc>
          <w:tcPr>
            <w:tcW w:type="dxa" w:w="212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Listings</w:t>
            </w:r>
          </w:p>
        </w:tc>
        <w:tc>
          <w:tcPr>
            <w:tcW w:type="dxa" w:w="200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Bluewaters Island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622,838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Ultra-luxury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Palm Jumeirah</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546,265</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1,614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Ultra-luxury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Jumeirah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485,517</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Luxury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Arabian Ranches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390,899</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178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Luxury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Dubai Hills Estate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275,922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Premium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Downtown Dubai</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264,166</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3,003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Premium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JVC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91,643</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Mid-market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Dubai Marina</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200,314</w:t>
            </w:r>
          </w:p>
        </w:tc>
        <w:tc>
          <w:tcPr>
            <w:tcW w:type="dxa" w:w="2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2,600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Upper-mid</w:t>
            </w:r>
          </w:p>
        </w:tc>
      </w:tr>
    </w:tbl>
    <w:p>
      <w:pPr>
        <w:spacing w:after="80" w:before="80"/>
      </w:pPr>
    </w:p>
    <w:p>
      <w:pPr>
        <w:pStyle w:val="Heading2"/>
        <w:spacing w:after="120" w:before="240"/>
      </w:pPr>
      <w:r>
        <w:rPr>
          <w:rFonts w:ascii="Arial" w:cs="Arial" w:eastAsia="Arial" w:hAnsi="Arial"/>
          <w:b/>
          <w:bCs/>
          <w:color w:val="1D4E7A"/>
          <w:sz w:val="26"/>
          <w:szCs w:val="26"/>
        </w:rPr>
        <w:t xml:space="preserve">3.2 Value Markets (Abu Dhabi &amp; Northern Emirates)</w:t>
      </w:r>
    </w:p>
    <w:p>
      <w:pPr>
        <w:spacing w:after="120" w:before="80"/>
      </w:pPr>
      <w:r>
        <w:rPr>
          <w:rFonts w:ascii="Arial" w:cs="Arial" w:eastAsia="Arial" w:hAnsi="Arial"/>
          <w:sz w:val="22"/>
          <w:szCs w:val="22"/>
        </w:rPr>
        <w:t xml:space="preserve">Al Reem Island is Abu Dhabi's most active neighborhood with 3,668 listings at an average of AED 99,779 — delivering waterfront proximity at roughly half of comparable Dubai waterfront prices. Sharjah's Muwailih Commercial offers the strongest value play at AED 31,013 average for tenants who can accept the Dubai commute.</w:t>
      </w:r>
    </w:p>
    <w:p>
      <w:pPr>
        <w:pBdr>
          <w:bottom w:val="single" w:color="CCCCCC" w:sz="1"/>
        </w:pBdr>
        <w:spacing w:after="160" w:before="160"/>
      </w:pPr>
    </w:p>
    <w:p>
      <w:pPr>
        <w:pStyle w:val="Heading1"/>
        <w:spacing w:after="160" w:before="320"/>
      </w:pPr>
      <w:r>
        <w:rPr>
          <w:rFonts w:ascii="Arial" w:cs="Arial" w:eastAsia="Arial" w:hAnsi="Arial"/>
          <w:b/>
          <w:bCs/>
          <w:color w:val="185FA5"/>
          <w:sz w:val="32"/>
          <w:szCs w:val="32"/>
        </w:rPr>
        <w:t xml:space="preserve">4. Property Characteristics &amp; Pricing</w:t>
      </w:r>
    </w:p>
    <w:p>
      <w:pPr>
        <w:pStyle w:val="Heading2"/>
        <w:spacing w:after="120" w:before="240"/>
      </w:pPr>
      <w:r>
        <w:rPr>
          <w:rFonts w:ascii="Arial" w:cs="Arial" w:eastAsia="Arial" w:hAnsi="Arial"/>
          <w:b/>
          <w:bCs/>
          <w:color w:val="1D4E7A"/>
          <w:sz w:val="26"/>
          <w:szCs w:val="26"/>
        </w:rPr>
        <w:t xml:space="preserve">4.1 Bedroom Premium Analysis</w:t>
      </w:r>
    </w:p>
    <w:p>
      <w:pPr>
        <w:spacing w:after="120" w:before="80"/>
      </w:pPr>
      <w:r>
        <w:rPr>
          <w:rFonts w:ascii="Arial" w:cs="Arial" w:eastAsia="Arial" w:hAnsi="Arial"/>
          <w:sz w:val="22"/>
          <w:szCs w:val="22"/>
        </w:rPr>
        <w:t xml:space="preserve">There is a clear and consistent rent premium per additional bedroom. The jump from Studio to 1BR (+82%) and 1BR to 2BR (+60%) represents the steepest proportional increases, indicating high demand pressure in the entry-level segments.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Bedrooms</w:t>
            </w:r>
          </w:p>
        </w:tc>
        <w:tc>
          <w:tcPr>
            <w:tcW w:type="dxa" w:w="23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Avg Rent (AED)</w:t>
            </w:r>
          </w:p>
        </w:tc>
        <w:tc>
          <w:tcPr>
            <w:tcW w:type="dxa" w:w="23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Listings</w:t>
            </w:r>
          </w:p>
        </w:tc>
        <w:tc>
          <w:tcPr>
            <w:tcW w:type="dxa" w:w="2340"/>
            <w:tcBorders>
              <w:top w:val="single" w:color="185FA5" w:sz="1"/>
              <w:left w:val="single" w:color="185FA5" w:sz="1"/>
              <w:bottom w:val="single" w:color="185FA5" w:sz="1"/>
              <w:right w:val="single" w:color="185FA5"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Incremental % jump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Studio (0BR)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44,056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8,416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 Bedroom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80,225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19,985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+82%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Bedrooms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128,550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19,821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3 Bedrooms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181,799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12,945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Bedrooms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273,498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5,964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5 Bedrooms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302,739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4,272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Bedrooms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422,461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w:t>
            </w:r>
          </w:p>
        </w:tc>
      </w:tr>
    </w:tbl>
    <w:p>
      <w:pPr>
        <w:spacing w:after="80" w:before="80"/>
      </w:pPr>
    </w:p>
    <w:p>
      <w:pPr>
        <w:pStyle w:val="Heading2"/>
        <w:spacing w:after="120" w:before="240"/>
      </w:pPr>
      <w:r>
        <w:rPr>
          <w:rFonts w:ascii="Arial" w:cs="Arial" w:eastAsia="Arial" w:hAnsi="Arial"/>
          <w:b/>
          <w:bCs/>
          <w:color w:val="1D4E7A"/>
          <w:sz w:val="26"/>
          <w:szCs w:val="26"/>
        </w:rPr>
        <w:t xml:space="preserve">4.2 Furnishing Premium</w:t>
      </w:r>
    </w:p>
    <w:p>
      <w:pPr>
        <w:spacing w:after="120" w:before="80"/>
      </w:pPr>
      <w:r>
        <w:rPr>
          <w:rFonts w:ascii="Arial" w:cs="Arial" w:eastAsia="Arial" w:hAnsi="Arial"/>
          <w:sz w:val="22"/>
          <w:szCs w:val="22"/>
        </w:rPr>
        <w:t xml:space="preserve">Furnished units command a 55% average rent premium over unfurnished equivalents (AED 205,656 vs AED 132,334). This premium is most pronounced in Dubai and Ras Al Khaimah, where furnished listings represent 38.7% and 40.6% of supply respectively — the highest ratios in the UAE. By contrast, Al Ain shows near-zero furnished supply at just 0.1%.</w:t>
      </w:r>
    </w:p>
    <w:p>
      <w:pPr>
        <w:pBdr>
          <w:bottom w:val="single" w:color="CCCCCC" w:sz="1"/>
        </w:pBdr>
        <w:spacing w:after="160" w:before="160"/>
      </w:pPr>
    </w:p>
    <w:p>
      <w:pPr>
        <w:pStyle w:val="Heading1"/>
        <w:spacing w:after="160" w:before="320"/>
      </w:pPr>
      <w:r>
        <w:rPr>
          <w:rFonts w:ascii="Arial" w:cs="Arial" w:eastAsia="Arial" w:hAnsi="Arial"/>
          <w:b/>
          <w:bCs/>
          <w:color w:val="185FA5"/>
          <w:sz w:val="32"/>
          <w:szCs w:val="32"/>
        </w:rPr>
        <w:t xml:space="preserve">5. Market Trends &amp; Velocity</w:t>
      </w:r>
    </w:p>
    <w:p>
      <w:pPr>
        <w:pStyle w:val="Heading2"/>
        <w:spacing w:after="120" w:before="240"/>
      </w:pPr>
      <w:r>
        <w:rPr>
          <w:rFonts w:ascii="Arial" w:cs="Arial" w:eastAsia="Arial" w:hAnsi="Arial"/>
          <w:b/>
          <w:bCs/>
          <w:color w:val="1D4E7A"/>
          <w:sz w:val="26"/>
          <w:szCs w:val="26"/>
        </w:rPr>
        <w:t xml:space="preserve">5.1 Days on Market by City</w:t>
      </w:r>
    </w:p>
    <w:p>
      <w:pPr>
        <w:spacing w:after="120" w:before="80"/>
      </w:pPr>
      <w:r>
        <w:rPr>
          <w:rFonts w:ascii="Arial" w:cs="Arial" w:eastAsia="Arial" w:hAnsi="Arial"/>
          <w:sz w:val="22"/>
          <w:szCs w:val="22"/>
        </w:rPr>
        <w:t xml:space="preserve">Dubai's rental market is the most liquid in the UAE. At a median of 64 days, listings move 36% faster than Abu Dhabi (87 days) and nearly 3× faster than Fujairah (174 days). This velocity differential reflects Dubai's global tenant demand — ex-pats, short-term residents, and corporate relocations continuously replenish demand.</w:t>
      </w:r>
    </w:p>
    <w:p>
      <w:pPr>
        <w:pStyle w:val="Heading2"/>
        <w:spacing w:after="120" w:before="240"/>
      </w:pPr>
      <w:r>
        <w:rPr>
          <w:rFonts w:ascii="Arial" w:cs="Arial" w:eastAsia="Arial" w:hAnsi="Arial"/>
          <w:b/>
          <w:bCs/>
          <w:color w:val="1D4E7A"/>
          <w:sz w:val="26"/>
          <w:szCs w:val="26"/>
        </w:rPr>
        <w:t xml:space="preserve">5.2 Rent Distribution</w:t>
      </w:r>
    </w:p>
    <w:p>
      <w:pPr>
        <w:spacing w:after="120" w:before="80"/>
      </w:pPr>
      <w:r>
        <w:rPr>
          <w:rFonts w:ascii="Arial" w:cs="Arial" w:eastAsia="Arial" w:hAnsi="Arial"/>
          <w:sz w:val="22"/>
          <w:szCs w:val="22"/>
        </w:rPr>
        <w:t xml:space="preserve">The market skews toward mid-range pricing. The modal bucket is AED 60,000–100,000 (16,325 listings / 22.1%), followed closely by AED 30,000–60,000 (15,815 listings / 21.4%). Together, properties below AED 100,000 account for 52% of all listings — reflecting the predominantly apartment-and-mass-market nature of the dataset.</w:t>
      </w:r>
    </w:p>
    <w:p>
      <w:pPr>
        <w:spacing w:after="120" w:before="80"/>
      </w:pPr>
      <w:r>
        <w:rPr>
          <w:rFonts w:ascii="Arial" w:cs="Arial" w:eastAsia="Arial" w:hAnsi="Arial"/>
          <w:sz w:val="22"/>
          <w:szCs w:val="22"/>
        </w:rPr>
        <w:t xml:space="preserve">The ultra-premium segment (AED 500,000+) comprises just 2.6% of listings (1,920 units) but is disproportionately concentrated in Palm Jumeirah and Bluewaters Island in Dubai.</w:t>
      </w:r>
    </w:p>
    <w:p>
      <w:pPr>
        <w:pBdr>
          <w:bottom w:val="single" w:color="CCCCCC" w:sz="1"/>
        </w:pBdr>
        <w:spacing w:after="160" w:before="160"/>
      </w:pPr>
    </w:p>
    <w:p>
      <w:pPr>
        <w:pStyle w:val="Heading1"/>
        <w:spacing w:after="160" w:before="320"/>
      </w:pPr>
      <w:r>
        <w:rPr>
          <w:rFonts w:ascii="Arial" w:cs="Arial" w:eastAsia="Arial" w:hAnsi="Arial"/>
          <w:b/>
          <w:bCs/>
          <w:color w:val="185FA5"/>
          <w:sz w:val="32"/>
          <w:szCs w:val="32"/>
        </w:rPr>
        <w:t xml:space="preserve">6. Actionable Recommendations</w:t>
      </w:r>
    </w:p>
    <w:p>
      <w:pPr>
        <w:pStyle w:val="Heading2"/>
        <w:spacing w:after="120" w:before="240"/>
      </w:pPr>
      <w:r>
        <w:rPr>
          <w:rFonts w:ascii="Arial" w:cs="Arial" w:eastAsia="Arial" w:hAnsi="Arial"/>
          <w:b/>
          <w:bCs/>
          <w:color w:val="1D4E7A"/>
          <w:sz w:val="26"/>
          <w:szCs w:val="26"/>
        </w:rPr>
        <w:t xml:space="preserve">6.1 Investment Opportunities</w:t>
      </w:r>
    </w:p>
    <w:p>
      <w:pPr>
        <w:pStyle w:val="ListParagraph"/>
        <w:numPr>
          <w:ilvl w:val="0"/>
          <w:numId w:val="2"/>
        </w:numPr>
        <w:spacing w:after="60" w:before="60"/>
      </w:pPr>
      <w:r>
        <w:rPr>
          <w:rFonts w:ascii="Arial" w:cs="Arial" w:eastAsia="Arial" w:hAnsi="Arial"/>
          <w:sz w:val="22"/>
          <w:szCs w:val="22"/>
        </w:rPr>
        <w:t xml:space="preserve">Furnished apartment play in Dubai: Supply of furnished units (38.7%) is insufficient given the 55% rent premium they command. Investors who furnish existing unfurnished apartments — particularly 1BR and 2BR units in JVC, Business Bay, or Dubai Creek Harbour — can capture outsized rental yields with minimal capital outlay relative to the property purchase price.</w:t>
      </w:r>
    </w:p>
    <w:p>
      <w:pPr>
        <w:pStyle w:val="ListParagraph"/>
        <w:numPr>
          <w:ilvl w:val="0"/>
          <w:numId w:val="2"/>
        </w:numPr>
        <w:spacing w:after="60" w:before="60"/>
      </w:pPr>
      <w:r>
        <w:rPr>
          <w:rFonts w:ascii="Arial" w:cs="Arial" w:eastAsia="Arial" w:hAnsi="Arial"/>
          <w:sz w:val="22"/>
          <w:szCs w:val="22"/>
        </w:rPr>
        <w:t xml:space="preserve">Sharjah arbitrage: With median rents of AED 37,990 — a 74% discount to Dubai — and a 30-45 minute commute to central Dubai, Sharjah is the strongest value market for budget-constrained tenants. Demand for quality stock at accessible price points is structurally supported.</w:t>
      </w:r>
    </w:p>
    <w:p>
      <w:pPr>
        <w:pStyle w:val="ListParagraph"/>
        <w:numPr>
          <w:ilvl w:val="0"/>
          <w:numId w:val="2"/>
        </w:numPr>
        <w:spacing w:after="60" w:before="60"/>
      </w:pPr>
      <w:r>
        <w:rPr>
          <w:rFonts w:ascii="Arial" w:cs="Arial" w:eastAsia="Arial" w:hAnsi="Arial"/>
          <w:sz w:val="22"/>
          <w:szCs w:val="22"/>
        </w:rPr>
        <w:t xml:space="preserve">Abu Dhabi mid-market: Al Reem Island and Khalifa City show high listing velocity despite Abu Dhabi's longer average days-on-market (87 days). 2–3BR units in these neighborhoods at AED 90,000–120,000 represent strong rental income stability for buy-to-let investors.</w:t>
      </w:r>
    </w:p>
    <w:p>
      <w:pPr>
        <w:pStyle w:val="ListParagraph"/>
        <w:numPr>
          <w:ilvl w:val="0"/>
          <w:numId w:val="2"/>
        </w:numPr>
        <w:spacing w:after="60" w:before="60"/>
      </w:pPr>
      <w:r>
        <w:rPr>
          <w:rFonts w:ascii="Arial" w:cs="Arial" w:eastAsia="Arial" w:hAnsi="Arial"/>
          <w:sz w:val="22"/>
          <w:szCs w:val="22"/>
        </w:rPr>
        <w:t xml:space="preserve">Avoid outer emirates for short-term holds: Al Ain (115 days), Umm Al Quwain (122 days), and Fujairah (174 days) exhibit illiquid markets. These cities suit long-term occupancy strategies only.</w:t>
      </w:r>
    </w:p>
    <w:p>
      <w:pPr>
        <w:spacing w:after="0" w:before="120"/>
      </w:pPr>
    </w:p>
    <w:p>
      <w:pPr>
        <w:pStyle w:val="Heading2"/>
        <w:spacing w:after="120" w:before="240"/>
      </w:pPr>
      <w:r>
        <w:rPr>
          <w:rFonts w:ascii="Arial" w:cs="Arial" w:eastAsia="Arial" w:hAnsi="Arial"/>
          <w:b/>
          <w:bCs/>
          <w:color w:val="1D4E7A"/>
          <w:sz w:val="26"/>
          <w:szCs w:val="26"/>
        </w:rPr>
        <w:t xml:space="preserve">6.2 Pricing Strategy for Landlords</w:t>
      </w:r>
    </w:p>
    <w:p>
      <w:pPr>
        <w:pStyle w:val="ListParagraph"/>
        <w:numPr>
          <w:ilvl w:val="0"/>
          <w:numId w:val="2"/>
        </w:numPr>
        <w:spacing w:after="60" w:before="60"/>
      </w:pPr>
      <w:r>
        <w:rPr>
          <w:rFonts w:ascii="Arial" w:cs="Arial" w:eastAsia="Arial" w:hAnsi="Arial"/>
          <w:sz w:val="22"/>
          <w:szCs w:val="22"/>
        </w:rPr>
        <w:t xml:space="preserve">Price furnished units 40-55% above comparable unfurnished listings — market data supports this premium without demand destruction.</w:t>
      </w:r>
    </w:p>
    <w:p>
      <w:pPr>
        <w:pStyle w:val="ListParagraph"/>
        <w:numPr>
          <w:ilvl w:val="0"/>
          <w:numId w:val="2"/>
        </w:numPr>
        <w:spacing w:after="60" w:before="60"/>
      </w:pPr>
      <w:r>
        <w:rPr>
          <w:rFonts w:ascii="Arial" w:cs="Arial" w:eastAsia="Arial" w:hAnsi="Arial"/>
          <w:sz w:val="22"/>
          <w:szCs w:val="22"/>
        </w:rPr>
        <w:t xml:space="preserve">In Dubai, 1BR and 2BR apartments priced at AED 75,000–130,000 have the deepest tenant pool (39,806 listings / 54% of Dubai stock). Competing in this band ensures fastest absorption.</w:t>
      </w:r>
    </w:p>
    <w:p>
      <w:pPr>
        <w:pStyle w:val="ListParagraph"/>
        <w:numPr>
          <w:ilvl w:val="0"/>
          <w:numId w:val="2"/>
        </w:numPr>
        <w:spacing w:after="60" w:before="60"/>
      </w:pPr>
      <w:r>
        <w:rPr>
          <w:rFonts w:ascii="Arial" w:cs="Arial" w:eastAsia="Arial" w:hAnsi="Arial"/>
          <w:sz w:val="22"/>
          <w:szCs w:val="22"/>
        </w:rPr>
        <w:t xml:space="preserve">Listings aged 95+ days are likely overpriced for their segment or location. A 10-15% price reduction in this percentile typically restores market competitiveness.</w:t>
      </w:r>
    </w:p>
    <w:p>
      <w:pPr>
        <w:spacing w:after="0" w:before="120"/>
      </w:pPr>
    </w:p>
    <w:p>
      <w:pPr>
        <w:pStyle w:val="Heading2"/>
        <w:spacing w:after="120" w:before="240"/>
      </w:pPr>
      <w:r>
        <w:rPr>
          <w:rFonts w:ascii="Arial" w:cs="Arial" w:eastAsia="Arial" w:hAnsi="Arial"/>
          <w:b/>
          <w:bCs/>
          <w:color w:val="1D4E7A"/>
          <w:sz w:val="26"/>
          <w:szCs w:val="26"/>
        </w:rPr>
        <w:t xml:space="preserve">6.3 Emerging Areas to Watch</w:t>
      </w:r>
    </w:p>
    <w:p>
      <w:pPr>
        <w:pStyle w:val="ListParagraph"/>
        <w:numPr>
          <w:ilvl w:val="0"/>
          <w:numId w:val="2"/>
        </w:numPr>
        <w:spacing w:after="60" w:before="60"/>
      </w:pPr>
      <w:r>
        <w:rPr>
          <w:rFonts w:ascii="Arial" w:cs="Arial" w:eastAsia="Arial" w:hAnsi="Arial"/>
          <w:sz w:val="22"/>
          <w:szCs w:val="22"/>
        </w:rPr>
        <w:t xml:space="preserve">Dubai Creek Harbour: 1,736 listings with avg AED 190,425 — premium location still building out, likely to appreciate as infrastructure matures.</w:t>
      </w:r>
    </w:p>
    <w:p>
      <w:pPr>
        <w:pStyle w:val="ListParagraph"/>
        <w:numPr>
          <w:ilvl w:val="0"/>
          <w:numId w:val="2"/>
        </w:numPr>
        <w:spacing w:after="60" w:before="60"/>
      </w:pPr>
      <w:r>
        <w:rPr>
          <w:rFonts w:ascii="Arial" w:cs="Arial" w:eastAsia="Arial" w:hAnsi="Arial"/>
          <w:sz w:val="22"/>
          <w:szCs w:val="22"/>
        </w:rPr>
        <w:t xml:space="preserve">Meydan City: 1,609 listings at AED 91,568 — undervalued relative to location quality and proximity to Downtown Dubai (AED 264,166 avg).</w:t>
      </w:r>
    </w:p>
    <w:p>
      <w:pPr>
        <w:pStyle w:val="ListParagraph"/>
        <w:numPr>
          <w:ilvl w:val="0"/>
          <w:numId w:val="2"/>
        </w:numPr>
        <w:spacing w:after="60" w:before="60"/>
      </w:pPr>
      <w:r>
        <w:rPr>
          <w:rFonts w:ascii="Arial" w:cs="Arial" w:eastAsia="Arial" w:hAnsi="Arial"/>
          <w:sz w:val="22"/>
          <w:szCs w:val="22"/>
        </w:rPr>
        <w:t xml:space="preserve">Ras Al Khaimah: Small market (816 listings) but 40.6% furnished ratio and an avg AED 77,539 suggest growing short-term rental and tourism demand.</w:t>
      </w:r>
    </w:p>
    <w:p>
      <w:pPr>
        <w:pBdr>
          <w:bottom w:val="single" w:color="CCCCCC" w:sz="1"/>
        </w:pBdr>
        <w:spacing w:after="160" w:before="160"/>
      </w:pPr>
    </w:p>
    <w:p>
      <w:pPr>
        <w:pStyle w:val="Heading1"/>
        <w:spacing w:after="160" w:before="320"/>
      </w:pPr>
      <w:r>
        <w:rPr>
          <w:rFonts w:ascii="Arial" w:cs="Arial" w:eastAsia="Arial" w:hAnsi="Arial"/>
          <w:b/>
          <w:bCs/>
          <w:color w:val="185FA5"/>
          <w:sz w:val="32"/>
          <w:szCs w:val="32"/>
        </w:rPr>
        <w:t xml:space="preserve">7. Conclusion</w:t>
      </w:r>
    </w:p>
    <w:p>
      <w:pPr>
        <w:spacing w:after="120" w:before="80"/>
      </w:pPr>
      <w:r>
        <w:rPr>
          <w:rFonts w:ascii="Arial" w:cs="Arial" w:eastAsia="Arial" w:hAnsi="Arial"/>
          <w:sz w:val="22"/>
          <w:szCs w:val="22"/>
        </w:rPr>
        <w:t xml:space="preserve">The UAE rental market is fundamentally a tale of two tiers: Dubai's premium, fast-moving market versus the accessible, slower-moving markets of the Northern Emirates and Abu Dhabi's mid-range stock. The data reveals three clear opportunity vectors for investors: the furnished unit premium gap (55% upside with minimal capex), the Sharjah commuter corridor (structural demand at value pricing), and Dubai's 1-2BR mid-market sweet spot (deepest demand pool, fastest liquidity).</w:t>
      </w:r>
    </w:p>
    <w:p>
      <w:pPr>
        <w:spacing w:after="120" w:before="80"/>
      </w:pPr>
      <w:r>
        <w:rPr>
          <w:rFonts w:ascii="Arial" w:cs="Arial" w:eastAsia="Arial" w:hAnsi="Arial"/>
          <w:sz w:val="22"/>
          <w:szCs w:val="22"/>
        </w:rPr>
        <w:t xml:space="preserve">Market participants who align their property strategy with these data-backed signals — rather than relying on anecdotal neighborhood reputation — are positioned to outperform the market average in both yield and occupancy rate.</w:t>
      </w:r>
    </w:p>
    <w:p>
      <w:pPr>
        <w:spacing w:after="80" w:before="240"/>
        <w:jc w:val="center"/>
      </w:pPr>
      <w:r>
        <w:rPr>
          <w:rFonts w:ascii="Arial" w:cs="Arial" w:eastAsia="Arial" w:hAnsi="Arial"/>
          <w:i/>
          <w:iCs/>
          <w:color w:val="888888"/>
          <w:sz w:val="20"/>
          <w:szCs w:val="20"/>
        </w:rPr>
        <w:t xml:space="preserve">— End of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UAE Real Estate Market Intelligence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2026-06-13T20:30:06.086Z</dcterms:created>
  <dcterms:modified xsi:type="dcterms:W3CDTF">2026-06-13T20:30:06.087Z</dcterms:modified>
</cp:coreProperties>
</file>

<file path=docProps/custom.xml><?xml version="1.0" encoding="utf-8"?>
<Properties xmlns="http://schemas.openxmlformats.org/officeDocument/2006/custom-properties" xmlns:vt="http://schemas.openxmlformats.org/officeDocument/2006/docPropsVTypes"/>
</file>