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14 — Enterprise Best Practices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4 — World-Class Engineering Organization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والثقافة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وثقافة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Engineering KPIs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Indicators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Common Engineering KPIs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Deployment Frequency.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Lead Time for Changes.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Change Failure Rate.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Mean Time to Recovery (MTTR).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System Availability.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Defect Density.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 Code Coverage.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 Customer Satisfaction.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 Developer Productivity.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 Technical Debt Ratio.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KPI Characteristics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بالأهداف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موضوعية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2. Engineering Maturity Models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Typical Maturity Levels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Level 1 — Initial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Level 2 — Managed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Level 3 — Defined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Level 4 — Quantitatively Managed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Level 5 — Optimizing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3. Technical Strategy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الإستراتيجية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Strategy Components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Business Alignment.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Architecture Vision.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Technology Selection.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Security Strategy.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 Scalability Strategy.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 Innovation Strategy.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إشراك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4. Technology Roadmaps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Roadmap Includes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 Current State.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Future Vision.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Milestones.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Dependencies.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Risks.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 Investment Priorities.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5. Scaling Engineering Teams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Scaling Challenges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6. Hiring Engineering Talent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Hiring Criteria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Hiring Process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1. Resume Screening.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2. Technical Assessment.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3. Coding Interview.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4. System Design Interview.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5. Behavioral Interview.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6. Final Evaluation.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7. Mentorship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Mentorship Objectives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8. Technical Decision Making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ومتوازنة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Decision Framework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1. Define the Problem.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2. Gather Data.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3. Identify Alternatives.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4. Evaluate Trade-offs.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5. Select the Best Option.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6. Document the Decision.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7. Review Outcomes.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Decision Principles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9. Engineering Documentation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 Architecture Documents.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 Technical Specifications.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 ADRs.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 API Documentation.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 Runbooks.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 Playbooks.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 Engineering Guidelines.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Onboarding Guides.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Documentation Principles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World-Class Engineering Checklist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Mentorship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Enterprise Best Practices Constitution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مواءمة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Roadmaps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Mentorship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Objectively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Maturity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Together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Hire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Potential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وظ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Mentorship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الإرشاد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Preserve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والتوظيف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والإرشاد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