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10092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00"/>
        <w:gridCol w:w="3092"/>
      </w:tblGrid>
      <w:tr>
        <w:tc>
          <w:tcPr>
            <w:tcW w:w="7000" w:type="dxa"/>
            <w:vAlign w:val="top"/>
          </w:tcPr>
          <w:p>
            <w:pPr>
              <w:spacing w:before="0" w:after="40" w:line="240" w:lineRule="auto"/>
            </w:pPr>
            <w:r>
              <w:rPr>
                <w:b/>
                <w:color w:val="1B1A19"/>
                <w:spacing w:val="-6"/>
                <w:sz w:val="44"/>
                <w:szCs w:val="44"/>
              </w:rPr>
              <w:t xml:space="preserve">J. M.</w:t>
            </w:r>
          </w:p>
          <w:p>
            <w:pPr>
              <w:spacing w:before="0" w:after="0" w:line="240" w:lineRule="auto"/>
            </w:pPr>
            <w:r>
              <w:rPr>
                <w:color w:val="7C2D3E"/>
                <w:sz w:val="24"/>
                <w:szCs w:val="24"/>
              </w:rPr>
              <w:t xml:space="preserve">Lead Product Engineer</w:t>
            </w:r>
          </w:p>
        </w:tc>
        <w:tc>
          <w:tcPr>
            <w:tcW w:w="3092" w:type="dxa"/>
            <w:vAlign w:val="top"/>
          </w:tcPr>
          <w:p>
            <w:pPr>
              <w:spacing w:before="0" w:after="0" w:line="280" w:lineRule="auto"/>
              <w:jc w:val="right"/>
            </w:pPr>
            <w:r>
              <w:rPr>
                <w:color w:val="716E69"/>
                <w:sz w:val="17"/>
                <w:szCs w:val="17"/>
              </w:rPr>
              <w:t xml:space="preserve">RÉF. JM-2417</w:t>
            </w:r>
          </w:p>
          <w:p>
            <w:pPr>
              <w:spacing w:before="0" w:after="0" w:line="280" w:lineRule="auto"/>
              <w:jc w:val="right"/>
            </w:pPr>
            <w:r>
              <w:rPr>
                <w:color w:val="716E69"/>
                <w:sz w:val="17"/>
                <w:szCs w:val="17"/>
              </w:rPr>
              <w:t xml:space="preserve">DOSSIER ANONYMISÉ</w:t>
            </w:r>
          </w:p>
        </w:tc>
      </w:tr>
    </w:tbl>
    <w:p>
      <w:pPr>
        <w:spacing w:before="0" w:after="140" w:line="100" w:lineRule="auto"/>
      </w:pPr>
    </w:p>
    <w:tbl>
      <w:tblPr>
        <w:tblW w:w="10092" w:type="dxa"/>
        <w:tblBorders>
          <w:top w:val="single" w:sz="5" w:space="0" w:color="1B1A19"/>
          <w:bottom w:val="single" w:sz="4" w:space="0" w:color="E4E1DC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23"/>
        <w:gridCol w:w="2523"/>
        <w:gridCol w:w="2523"/>
        <w:gridCol w:w="2523"/>
      </w:tblGrid>
      <w:tr>
        <w:tc>
          <w:tcPr>
            <w:tcW w:w="2523" w:type="dxa"/>
            <w:vAlign w:val="top"/>
          </w:tcPr>
          <w:p>
            <w:pPr>
              <w:spacing w:before="70" w:after="20" w:line="240" w:lineRule="auto"/>
            </w:pPr>
            <w:r>
              <w:rPr>
                <w:caps/>
                <w:color w:val="A8A49E"/>
                <w:spacing w:val="18"/>
                <w:sz w:val="15"/>
                <w:szCs w:val="15"/>
              </w:rPr>
              <w:t xml:space="preserve">Disponibilité</w:t>
            </w:r>
          </w:p>
          <w:p>
            <w:pPr>
              <w:spacing w:before="0" w:after="70" w:line="240" w:lineRule="auto"/>
            </w:pPr>
            <w:r>
              <w:rPr>
                <w:b/>
                <w:color w:val="1B1A19"/>
                <w:sz w:val="19"/>
                <w:szCs w:val="19"/>
              </w:rPr>
              <w:t xml:space="preserve">Immédiate</w:t>
            </w:r>
          </w:p>
        </w:tc>
        <w:tc>
          <w:tcPr>
            <w:tcW w:w="2523" w:type="dxa"/>
            <w:vAlign w:val="top"/>
          </w:tcPr>
          <w:p>
            <w:pPr>
              <w:spacing w:before="70" w:after="20" w:line="240" w:lineRule="auto"/>
            </w:pPr>
            <w:r>
              <w:rPr>
                <w:caps/>
                <w:color w:val="A8A49E"/>
                <w:spacing w:val="18"/>
                <w:sz w:val="15"/>
                <w:szCs w:val="15"/>
              </w:rPr>
              <w:t xml:space="preserve">TJM</w:t>
            </w:r>
          </w:p>
          <w:p>
            <w:pPr>
              <w:spacing w:before="0" w:after="70" w:line="240" w:lineRule="auto"/>
            </w:pPr>
            <w:r>
              <w:rPr>
                <w:b/>
                <w:color w:val="1B1A19"/>
                <w:sz w:val="19"/>
                <w:szCs w:val="19"/>
              </w:rPr>
              <w:t xml:space="preserve">650–750 €</w:t>
            </w:r>
            <w:r>
              <w:rPr>
                <w:color w:val="716E69"/>
                <w:sz w:val="17"/>
                <w:szCs w:val="17"/>
              </w:rPr>
              <w:t xml:space="preserve"> / jour</w:t>
            </w:r>
          </w:p>
        </w:tc>
        <w:tc>
          <w:tcPr>
            <w:tcW w:w="2523" w:type="dxa"/>
            <w:vAlign w:val="top"/>
          </w:tcPr>
          <w:p>
            <w:pPr>
              <w:spacing w:before="70" w:after="20" w:line="240" w:lineRule="auto"/>
            </w:pPr>
            <w:r>
              <w:rPr>
                <w:caps/>
                <w:color w:val="A8A49E"/>
                <w:spacing w:val="18"/>
                <w:sz w:val="15"/>
                <w:szCs w:val="15"/>
              </w:rPr>
              <w:t xml:space="preserve">Mobilité</w:t>
            </w:r>
          </w:p>
          <w:p>
            <w:pPr>
              <w:spacing w:before="0" w:after="70" w:line="240" w:lineRule="auto"/>
            </w:pPr>
            <w:r>
              <w:rPr>
                <w:b/>
                <w:color w:val="1B1A19"/>
                <w:sz w:val="19"/>
                <w:szCs w:val="19"/>
              </w:rPr>
              <w:t xml:space="preserve">Paris</w:t>
            </w:r>
            <w:r>
              <w:rPr>
                <w:color w:val="716E69"/>
                <w:sz w:val="17"/>
                <w:szCs w:val="17"/>
              </w:rPr>
              <w:t xml:space="preserve"> · full remote</w:t>
            </w:r>
          </w:p>
        </w:tc>
        <w:tc>
          <w:tcPr>
            <w:tcW w:w="2523" w:type="dxa"/>
            <w:vAlign w:val="top"/>
          </w:tcPr>
          <w:p>
            <w:pPr>
              <w:spacing w:before="70" w:after="20" w:line="240" w:lineRule="auto"/>
            </w:pPr>
            <w:r>
              <w:rPr>
                <w:caps/>
                <w:color w:val="A8A49E"/>
                <w:spacing w:val="18"/>
                <w:sz w:val="15"/>
                <w:szCs w:val="15"/>
              </w:rPr>
              <w:t xml:space="preserve">Expérience</w:t>
            </w:r>
          </w:p>
          <w:p>
            <w:pPr>
              <w:spacing w:before="0" w:after="70" w:line="240" w:lineRule="auto"/>
            </w:pPr>
            <w:r>
              <w:rPr>
                <w:b/>
                <w:color w:val="1B1A19"/>
                <w:sz w:val="19"/>
                <w:szCs w:val="19"/>
              </w:rPr>
              <w:t xml:space="preserve">9 ans</w:t>
            </w:r>
          </w:p>
        </w:tc>
      </w:tr>
    </w:tbl>
    <w:p>
      <w:pPr>
        <w:spacing w:before="0" w:after="120" w:line="100" w:lineRule="auto"/>
      </w:pPr>
    </w:p>
    <w:p>
      <w:pPr>
        <w:spacing w:before="0" w:after="80" w:line="300" w:lineRule="auto"/>
      </w:pPr>
      <w:r>
        <w:rPr>
          <w:color w:val="3B3936"/>
          <w:sz w:val="20"/>
          <w:szCs w:val="20"/>
        </w:rPr>
        <w:t xml:space="preserve">Consultant senior — </w:t>
      </w:r>
      <w:r>
        <w:rPr>
          <w:b/>
          <w:color w:val="1B1A19"/>
          <w:sz w:val="20"/>
          <w:szCs w:val="20"/>
        </w:rPr>
        <w:t xml:space="preserve">plateformes SaaS</w:t>
      </w:r>
      <w:r>
        <w:rPr>
          <w:color w:val="3B3936"/>
          <w:sz w:val="20"/>
          <w:szCs w:val="20"/>
        </w:rPr>
        <w:t xml:space="preserve">, </w:t>
      </w:r>
      <w:r>
        <w:rPr>
          <w:b/>
          <w:color w:val="1B1A19"/>
          <w:sz w:val="20"/>
          <w:szCs w:val="20"/>
        </w:rPr>
        <w:t xml:space="preserve">industrialisation produit</w:t>
      </w:r>
      <w:r>
        <w:rPr>
          <w:color w:val="3B3936"/>
          <w:sz w:val="20"/>
          <w:szCs w:val="20"/>
        </w:rPr>
        <w:t xml:space="preserve">, IA appliquée aux opérations métier.</w:t>
      </w:r>
    </w:p>
    <w:p>
      <w:pPr>
        <w:keepNext/>
        <w:keepLines/>
        <w:pBdr>
          <w:bottom w:val="single" w:sz="4" w:space="4" w:color="E4E1DC"/>
        </w:pBdr>
        <w:spacing w:before="260" w:after="120" w:line="240" w:lineRule="auto"/>
      </w:pPr>
      <w:r>
        <w:rPr>
          <w:b/>
          <w:color w:val="7C2D3E"/>
          <w:sz w:val="14"/>
          <w:szCs w:val="14"/>
        </w:rPr>
        <w:t xml:space="preserve">■  </w:t>
      </w:r>
      <w:r>
        <w:rPr>
          <w:b/>
          <w:caps/>
          <w:color w:val="1B1A19"/>
          <w:spacing w:val="26"/>
          <w:sz w:val="17"/>
          <w:szCs w:val="17"/>
        </w:rPr>
        <w:t xml:space="preserve">Compétences</w:t>
      </w:r>
    </w:p>
    <w:p>
      <w:pPr>
        <w:spacing w:before="0" w:after="120" w:line="340" w:lineRule="auto"/>
      </w:pPr>
      <w:r>
        <w:rPr>
          <w:b/>
          <w:color w:val="5C1F2D"/>
          <w:sz w:val="19"/>
          <w:szCs w:val="19"/>
          <w:bdr w:val="single" w:sz="8" w:space="2" w:color="7C2D3E"/>
        </w:rPr>
        <w:t xml:space="preserve"> Python · avancé </w:t>
      </w:r>
      <w:r>
        <w:rPr>
          <w:sz w:val="19"/>
          <w:szCs w:val="19"/>
        </w:rPr>
        <w:t xml:space="preserve">   </w:t>
      </w:r>
      <w:r>
        <w:rPr>
          <w:b/>
          <w:color w:val="5C1F2D"/>
          <w:sz w:val="19"/>
          <w:szCs w:val="19"/>
          <w:bdr w:val="single" w:sz="8" w:space="2" w:color="7C2D3E"/>
        </w:rPr>
        <w:t xml:space="preserve"> PostgreSQL · avancé </w:t>
      </w:r>
      <w:r>
        <w:rPr>
          <w:sz w:val="19"/>
          <w:szCs w:val="19"/>
        </w:rPr>
        <w:t xml:space="preserve">   </w:t>
      </w:r>
      <w:r>
        <w:rPr>
          <w:b/>
          <w:color w:val="5C1F2D"/>
          <w:sz w:val="19"/>
          <w:szCs w:val="19"/>
          <w:bdr w:val="single" w:sz="8" w:space="2" w:color="7C2D3E"/>
        </w:rPr>
        <w:t xml:space="preserve"> Next.js · intermédiaire </w:t>
      </w:r>
      <w:r>
        <w:rPr>
          <w:sz w:val="19"/>
          <w:szCs w:val="19"/>
        </w:rPr>
        <w:t xml:space="preserve">   </w:t>
      </w:r>
      <w:r>
        <w:rPr>
          <w:b/>
          <w:color w:val="5C1F2D"/>
          <w:sz w:val="19"/>
          <w:szCs w:val="19"/>
          <w:bdr w:val="single" w:sz="8" w:space="2" w:color="7C2D3E"/>
        </w:rPr>
        <w:t xml:space="preserve"> Architecture logicielle · avancé </w:t>
      </w:r>
    </w:p>
    <w:tbl>
      <w:tblPr>
        <w:tblW w:w="10092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00"/>
        <w:gridCol w:w="8192"/>
      </w:tblGrid>
      <w:tr>
        <w:tc>
          <w:tcPr>
            <w:tcW w:w="1900" w:type="dxa"/>
            <w:vAlign w:val="top"/>
          </w:tcPr>
          <w:p>
            <w:pPr>
              <w:spacing w:before="30" w:after="30" w:line="240" w:lineRule="auto"/>
            </w:pPr>
            <w:r>
              <w:rPr>
                <w:caps/>
                <w:color w:val="A8A49E"/>
                <w:spacing w:val="14"/>
                <w:sz w:val="15"/>
                <w:szCs w:val="15"/>
              </w:rPr>
              <w:t xml:space="preserve">Également</w:t>
            </w:r>
          </w:p>
        </w:tc>
        <w:tc>
          <w:tcPr>
            <w:tcW w:w="8192" w:type="dxa"/>
            <w:vAlign w:val="top"/>
          </w:tcPr>
          <w:p>
            <w:pPr>
              <w:spacing w:before="30" w:after="30" w:line="260" w:lineRule="auto"/>
            </w:pPr>
            <w:r>
              <w:rPr>
                <w:color w:val="3B3936"/>
                <w:sz w:val="17"/>
                <w:szCs w:val="17"/>
              </w:rPr>
              <w:t xml:space="preserve">FastAPI · Airflow · Docker · CI/CD · Scrum · ateliers métier</w:t>
            </w:r>
          </w:p>
        </w:tc>
      </w:tr>
    </w:tbl>
    <w:p>
      <w:pPr>
        <w:keepNext/>
        <w:keepLines/>
        <w:pBdr>
          <w:bottom w:val="single" w:sz="4" w:space="4" w:color="E4E1DC"/>
        </w:pBdr>
        <w:spacing w:before="260" w:after="120" w:line="240" w:lineRule="auto"/>
      </w:pPr>
      <w:r>
        <w:rPr>
          <w:b/>
          <w:color w:val="7C2D3E"/>
          <w:sz w:val="14"/>
          <w:szCs w:val="14"/>
        </w:rPr>
        <w:t xml:space="preserve">■  </w:t>
      </w:r>
      <w:r>
        <w:rPr>
          <w:b/>
          <w:caps/>
          <w:color w:val="1B1A19"/>
          <w:spacing w:val="26"/>
          <w:sz w:val="17"/>
          <w:szCs w:val="17"/>
        </w:rPr>
        <w:t xml:space="preserve">Expériences</w:t>
      </w:r>
    </w:p>
    <w:p>
      <w:pPr>
        <w:keepNext/>
        <w:keepLines/>
        <w:tabs>
          <w:tab w:val="right" w:pos="10092"/>
        </w:tabs>
        <w:spacing w:before="160" w:after="40" w:line="250" w:lineRule="auto"/>
      </w:pPr>
      <w:r>
        <w:rPr>
          <w:b/>
          <w:color w:val="1B1A19"/>
          <w:sz w:val="22"/>
          <w:szCs w:val="22"/>
        </w:rPr>
        <w:t xml:space="preserve">Lead Engineer</w:t>
      </w:r>
      <w:r>
        <w:rPr>
          <w:color w:val="3B3936"/>
          <w:sz w:val="22"/>
          <w:szCs w:val="22"/>
        </w:rPr>
        <w:t xml:space="preserve">  —  Éditeur SaaS B2B</w:t>
      </w:r>
      <w:r>
        <w:tab/>
      </w:r>
      <w:r>
        <w:rPr>
          <w:color w:val="716E69"/>
          <w:sz w:val="17"/>
          <w:szCs w:val="17"/>
        </w:rPr>
        <w:t xml:space="preserve">01/2023 — auj.</w:t>
      </w:r>
    </w:p>
    <w:p>
      <w:pPr>
        <w:keepNext/>
        <w:keepLines/>
        <w:spacing w:before="0" w:after="70" w:line="240" w:lineRule="auto"/>
      </w:pPr>
      <w:r>
        <w:rPr>
          <w:b/>
          <w:color w:val="716E69"/>
          <w:sz w:val="15"/>
          <w:szCs w:val="15"/>
        </w:rPr>
        <w:t xml:space="preserve">Stack — </w:t>
      </w:r>
      <w:r>
        <w:rPr>
          <w:color w:val="A8A49E"/>
          <w:spacing w:val="4"/>
          <w:sz w:val="15"/>
          <w:szCs w:val="15"/>
        </w:rPr>
        <w:t xml:space="preserve">PostgreSQL · Next.js · FastAPI</w:t>
      </w:r>
    </w:p>
    <w:p>
      <w:pPr>
        <w:pBdr>
          <w:left w:val="single" w:sz="13" w:space="10" w:color="7C2D3E"/>
        </w:pBdr>
        <w:shd w:val="clear" w:color="auto" w:fill="F6EDEF"/>
        <w:spacing w:before="50" w:after="70" w:line="250" w:lineRule="auto"/>
        <w:ind w:left="300" w:right="120"/>
      </w:pPr>
      <w:r>
        <w:rPr>
          <w:color w:val="3B3936"/>
          <w:sz w:val="19"/>
          <w:szCs w:val="19"/>
        </w:rPr>
        <w:t xml:space="preserve">Automatisation de la constitution des dossiers : </w:t>
      </w:r>
      <w:r>
        <w:rPr>
          <w:b/>
          <w:color w:val="1B1A19"/>
          <w:sz w:val="19"/>
          <w:szCs w:val="19"/>
        </w:rPr>
        <w:t xml:space="preserve">de plusieurs heures à quelques minutes </w:t>
      </w:r>
      <w:r>
        <w:rPr>
          <w:b/>
          <w:color w:val="5C1F2D"/>
          <w:sz w:val="19"/>
          <w:szCs w:val="19"/>
        </w:rPr>
        <w:t xml:space="preserve">(−85 %)</w:t>
      </w:r>
    </w:p>
    <w:p>
      <w:pPr>
        <w:spacing w:before="0" w:after="50" w:line="250" w:lineRule="auto"/>
        <w:ind w:left="280" w:hanging="280"/>
      </w:pPr>
      <w:r>
        <w:rPr>
          <w:color w:val="A8A49E"/>
          <w:sz w:val="19"/>
          <w:szCs w:val="19"/>
        </w:rPr>
        <w:t xml:space="preserve">–   </w:t>
      </w:r>
      <w:r>
        <w:rPr>
          <w:color w:val="3B3936"/>
          <w:sz w:val="19"/>
          <w:szCs w:val="19"/>
        </w:rPr>
        <w:t xml:space="preserve">Plateforme menée de l’alpha à la production multi-clients en 6 mois</w:t>
      </w:r>
    </w:p>
    <w:p>
      <w:pPr>
        <w:keepNext/>
        <w:keepLines/>
        <w:tabs>
          <w:tab w:val="right" w:pos="10092"/>
        </w:tabs>
        <w:spacing w:before="160" w:after="40" w:line="250" w:lineRule="auto"/>
      </w:pPr>
      <w:r>
        <w:rPr>
          <w:b/>
          <w:color w:val="1B1A19"/>
          <w:sz w:val="22"/>
          <w:szCs w:val="22"/>
        </w:rPr>
        <w:t xml:space="preserve">Data Engineer</w:t>
      </w:r>
      <w:r>
        <w:rPr>
          <w:color w:val="3B3936"/>
          <w:sz w:val="22"/>
          <w:szCs w:val="22"/>
        </w:rPr>
        <w:t xml:space="preserve">  —  Cabinet de conseil data</w:t>
      </w:r>
      <w:r>
        <w:tab/>
      </w:r>
      <w:r>
        <w:rPr>
          <w:color w:val="716E69"/>
          <w:sz w:val="17"/>
          <w:szCs w:val="17"/>
        </w:rPr>
        <w:t xml:space="preserve">03/2020 — 12/2022</w:t>
      </w:r>
    </w:p>
    <w:p>
      <w:pPr>
        <w:keepNext/>
        <w:keepLines/>
        <w:spacing w:before="0" w:after="70" w:line="240" w:lineRule="auto"/>
      </w:pPr>
      <w:r>
        <w:rPr>
          <w:b/>
          <w:color w:val="716E69"/>
          <w:sz w:val="15"/>
          <w:szCs w:val="15"/>
        </w:rPr>
        <w:t xml:space="preserve">Stack — </w:t>
      </w:r>
      <w:r>
        <w:rPr>
          <w:color w:val="A8A49E"/>
          <w:spacing w:val="4"/>
          <w:sz w:val="15"/>
          <w:szCs w:val="15"/>
        </w:rPr>
        <w:t xml:space="preserve">Airflow · Python · PostgreSQL</w:t>
      </w:r>
    </w:p>
    <w:p>
      <w:pPr>
        <w:pBdr>
          <w:left w:val="single" w:sz="13" w:space="10" w:color="7C2D3E"/>
        </w:pBdr>
        <w:shd w:val="clear" w:color="auto" w:fill="F6EDEF"/>
        <w:spacing w:before="50" w:after="70" w:line="250" w:lineRule="auto"/>
        <w:ind w:left="300" w:right="120"/>
      </w:pPr>
      <w:r>
        <w:rPr>
          <w:color w:val="3B3936"/>
          <w:sz w:val="19"/>
          <w:szCs w:val="19"/>
        </w:rPr>
        <w:t xml:space="preserve">Fiabilisation des traitements critiques : </w:t>
      </w:r>
      <w:r>
        <w:rPr>
          <w:b/>
          <w:color w:val="1B1A19"/>
          <w:sz w:val="19"/>
          <w:szCs w:val="19"/>
        </w:rPr>
        <w:t xml:space="preserve">−35 % d’incidents </w:t>
      </w:r>
      <w:r>
        <w:rPr>
          <w:b/>
          <w:color w:val="5C1F2D"/>
          <w:sz w:val="19"/>
          <w:szCs w:val="19"/>
        </w:rPr>
        <w:t xml:space="preserve">en production</w:t>
      </w:r>
    </w:p>
    <w:p>
      <w:pPr>
        <w:spacing w:before="0" w:after="50" w:line="250" w:lineRule="auto"/>
        <w:ind w:left="280" w:hanging="280"/>
      </w:pPr>
      <w:r>
        <w:rPr>
          <w:color w:val="A8A49E"/>
          <w:sz w:val="19"/>
          <w:szCs w:val="19"/>
        </w:rPr>
        <w:t xml:space="preserve">–   </w:t>
      </w:r>
      <w:r>
        <w:rPr>
          <w:color w:val="3B3936"/>
          <w:sz w:val="19"/>
          <w:szCs w:val="19"/>
        </w:rPr>
        <w:t xml:space="preserve">Industrialisation des pipelines data, accompagnement des équipes métier</w:t>
      </w:r>
    </w:p>
    <w:p>
      <w:pPr>
        <w:keepNext/>
        <w:keepLines/>
        <w:tabs>
          <w:tab w:val="right" w:pos="10092"/>
        </w:tabs>
        <w:spacing w:before="160" w:after="40" w:line="250" w:lineRule="auto"/>
      </w:pPr>
      <w:r>
        <w:rPr>
          <w:b/>
          <w:color w:val="1B1A19"/>
          <w:sz w:val="22"/>
          <w:szCs w:val="22"/>
        </w:rPr>
        <w:t xml:space="preserve">Développeur back-end</w:t>
      </w:r>
      <w:r>
        <w:rPr>
          <w:color w:val="3B3936"/>
          <w:sz w:val="22"/>
          <w:szCs w:val="22"/>
        </w:rPr>
        <w:t xml:space="preserve">  —  ESN, clients grands comptes</w:t>
      </w:r>
      <w:r>
        <w:tab/>
      </w:r>
      <w:r>
        <w:rPr>
          <w:color w:val="716E69"/>
          <w:sz w:val="17"/>
          <w:szCs w:val="17"/>
        </w:rPr>
        <w:t xml:space="preserve">09/2015 — 02/2020</w:t>
      </w:r>
    </w:p>
    <w:p>
      <w:pPr>
        <w:keepNext/>
        <w:keepLines/>
        <w:spacing w:before="0" w:after="70" w:line="240" w:lineRule="auto"/>
      </w:pPr>
      <w:r>
        <w:rPr>
          <w:b/>
          <w:color w:val="716E69"/>
          <w:sz w:val="15"/>
          <w:szCs w:val="15"/>
        </w:rPr>
        <w:t xml:space="preserve">Stack — </w:t>
      </w:r>
      <w:r>
        <w:rPr>
          <w:color w:val="A8A49E"/>
          <w:spacing w:val="4"/>
          <w:sz w:val="15"/>
          <w:szCs w:val="15"/>
        </w:rPr>
        <w:t xml:space="preserve">Python · PostgreSQL · Django</w:t>
      </w:r>
    </w:p>
    <w:p>
      <w:pPr>
        <w:spacing w:before="0" w:after="50" w:line="250" w:lineRule="auto"/>
        <w:ind w:left="280" w:hanging="280"/>
      </w:pPr>
      <w:r>
        <w:rPr>
          <w:color w:val="A8A49E"/>
          <w:sz w:val="19"/>
          <w:szCs w:val="19"/>
        </w:rPr>
        <w:t xml:space="preserve">–   </w:t>
      </w:r>
      <w:r>
        <w:rPr>
          <w:color w:val="3B3936"/>
          <w:sz w:val="19"/>
          <w:szCs w:val="19"/>
        </w:rPr>
        <w:t xml:space="preserve">API métier pour trois clients grands comptes (banque, énergie)</w:t>
      </w:r>
    </w:p>
    <w:p>
      <w:pPr>
        <w:spacing w:before="0" w:after="120" w:line="100" w:lineRule="auto"/>
      </w:pPr>
    </w:p>
    <w:tbl>
      <w:tblPr>
        <w:tblW w:w="10092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901"/>
        <w:gridCol w:w="290"/>
        <w:gridCol w:w="4901"/>
      </w:tblGrid>
      <w:tr>
        <w:tc>
          <w:tcPr>
            <w:tcW w:w="4901" w:type="dxa"/>
            <w:vAlign w:val="top"/>
          </w:tcPr>
          <w:p>
            <w:pPr>
              <w:keepNext/>
              <w:keepLines/>
              <w:pBdr>
                <w:bottom w:val="single" w:sz="4" w:space="4" w:color="E4E1DC"/>
              </w:pBdr>
              <w:spacing w:before="60" w:after="120" w:line="240" w:lineRule="auto"/>
            </w:pPr>
            <w:r>
              <w:rPr>
                <w:b/>
                <w:color w:val="7C2D3E"/>
                <w:sz w:val="14"/>
                <w:szCs w:val="14"/>
              </w:rPr>
              <w:t xml:space="preserve">■  </w:t>
            </w:r>
            <w:r>
              <w:rPr>
                <w:b/>
                <w:caps/>
                <w:color w:val="1B1A19"/>
                <w:spacing w:val="26"/>
                <w:sz w:val="17"/>
                <w:szCs w:val="17"/>
              </w:rPr>
              <w:t xml:space="preserve">Formation &amp; certifications</w:t>
            </w:r>
          </w:p>
          <w:p>
            <w:pPr>
              <w:spacing w:before="0" w:after="40" w:line="280" w:lineRule="auto"/>
            </w:pPr>
            <w:r>
              <w:rPr>
                <w:b/>
                <w:color w:val="1B1A19"/>
                <w:sz w:val="17"/>
                <w:szCs w:val="17"/>
              </w:rPr>
              <w:t xml:space="preserve">Ingénieur Informatique</w:t>
            </w:r>
            <w:r>
              <w:rPr>
                <w:color w:val="716E69"/>
                <w:sz w:val="17"/>
                <w:szCs w:val="17"/>
              </w:rPr>
              <w:t xml:space="preserve"> — INSA Lyon · 2015</w:t>
            </w:r>
          </w:p>
          <w:p>
            <w:pPr>
              <w:spacing w:before="0" w:after="40" w:line="280" w:lineRule="auto"/>
            </w:pPr>
            <w:r>
              <w:rPr>
                <w:b/>
                <w:color w:val="1B1A19"/>
                <w:sz w:val="17"/>
                <w:szCs w:val="17"/>
              </w:rPr>
              <w:t xml:space="preserve">AWS Solutions Architect — Associate</w:t>
            </w:r>
            <w:r>
              <w:rPr>
                <w:color w:val="716E69"/>
                <w:sz w:val="17"/>
                <w:szCs w:val="17"/>
              </w:rPr>
              <w:t xml:space="preserve"> · 2022</w:t>
            </w:r>
          </w:p>
        </w:tc>
        <w:tc>
          <w:tcPr>
            <w:tcW w:w="290" w:type="dxa"/>
            <w:vAlign w:val="top"/>
          </w:tcPr>
          <w:p/>
        </w:tc>
        <w:tc>
          <w:tcPr>
            <w:tcW w:w="4901" w:type="dxa"/>
            <w:vAlign w:val="top"/>
          </w:tcPr>
          <w:p>
            <w:pPr>
              <w:keepNext/>
              <w:keepLines/>
              <w:pBdr>
                <w:bottom w:val="single" w:sz="4" w:space="4" w:color="E4E1DC"/>
              </w:pBdr>
              <w:spacing w:before="60" w:after="120" w:line="240" w:lineRule="auto"/>
            </w:pPr>
            <w:r>
              <w:rPr>
                <w:b/>
                <w:color w:val="7C2D3E"/>
                <w:sz w:val="14"/>
                <w:szCs w:val="14"/>
              </w:rPr>
              <w:t xml:space="preserve">■  </w:t>
            </w:r>
            <w:r>
              <w:rPr>
                <w:b/>
                <w:caps/>
                <w:color w:val="1B1A19"/>
                <w:spacing w:val="26"/>
                <w:sz w:val="17"/>
                <w:szCs w:val="17"/>
              </w:rPr>
              <w:t xml:space="preserve">Langues</w:t>
            </w:r>
          </w:p>
          <w:p>
            <w:pPr>
              <w:spacing w:before="0" w:after="40" w:line="280" w:lineRule="auto"/>
            </w:pPr>
            <w:r>
              <w:rPr>
                <w:b/>
                <w:color w:val="1B1A19"/>
                <w:sz w:val="17"/>
                <w:szCs w:val="17"/>
              </w:rPr>
              <w:t xml:space="preserve">Français</w:t>
            </w:r>
            <w:r>
              <w:rPr>
                <w:color w:val="3B3936"/>
                <w:sz w:val="17"/>
                <w:szCs w:val="17"/>
              </w:rPr>
              <w:t xml:space="preserve"> — langue maternelle</w:t>
            </w:r>
          </w:p>
          <w:p>
            <w:pPr>
              <w:spacing w:before="0" w:after="40" w:line="280" w:lineRule="auto"/>
            </w:pPr>
            <w:r>
              <w:rPr>
                <w:b/>
                <w:color w:val="1B1A19"/>
                <w:sz w:val="17"/>
                <w:szCs w:val="17"/>
              </w:rPr>
              <w:t xml:space="preserve">Anglais</w:t>
            </w:r>
            <w:r>
              <w:rPr>
                <w:color w:val="3B3936"/>
                <w:sz w:val="17"/>
                <w:szCs w:val="17"/>
              </w:rPr>
              <w:t xml:space="preserve"> — C1, courant professionnel</w:t>
            </w:r>
          </w:p>
        </w:tc>
      </w:tr>
    </w:tbl>
    <w:sectPr>
      <w:footerReference w:type="default" r:id="rId2"/>
      <w:pgSz w:w="11906" w:h="16838"/>
      <w:pgMar w:top="794" w:right="907" w:bottom="850" w:left="907" w:header="567" w:footer="40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Bdr>
        <w:top w:val="single" w:sz="4" w:space="4" w:color="E4E1DC"/>
      </w:pBdr>
      <w:tabs>
        <w:tab w:val="right" w:pos="10092"/>
      </w:tabs>
      <w:spacing w:before="60" w:after="0" w:line="240" w:lineRule="auto"/>
    </w:pPr>
    <w:r>
      <w:rPr>
        <w:color w:val="A8A49E"/>
        <w:spacing w:val="10"/>
        <w:sz w:val="13"/>
        <w:szCs w:val="13"/>
      </w:rPr>
      <w:t xml:space="preserve">Réf. JM-2417 — dossier anonymisé</w:t>
    </w:r>
    <w:r>
      <w:tab/>
    </w:r>
    <w:r>
      <w:rPr>
        <w:color w:val="A8A49E"/>
        <w:spacing w:val="10"/>
        <w:sz w:val="13"/>
        <w:szCs w:val="13"/>
      </w:rPr>
      <w:t xml:space="preserve">Dossier de compétences · 06/2026 · </w:t>
    </w:r>
    <w:fldSimple w:instr=" PAGE ">
      <w:r>
        <w:rPr>
          <w:color w:val="A8A49E"/>
          <w:sz w:val="13"/>
          <w:szCs w:val="13"/>
        </w:rPr>
        <w:t>1</w:t>
      </w:r>
    </w:fldSimple>
    <w:r>
      <w:rPr>
        <w:color w:val="A8A49E"/>
        <w:sz w:val="13"/>
        <w:szCs w:val="13"/>
      </w:rPr>
      <w:t xml:space="preserve">/</w:t>
    </w:r>
    <w:fldSimple w:instr=" NUMPAGES ">
      <w:r>
        <w:rPr>
          <w:color w:val="A8A49E"/>
          <w:sz w:val="13"/>
          <w:szCs w:val="13"/>
        </w:rPr>
        <w:t>1</w:t>
      </w:r>
    </w:fldSimple>
  </w:p>
</w:ftr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color w:val="3B3936"/>
        <w:sz w:val="19"/>
        <w:szCs w:val="19"/>
        <w:lang w:val="fr-FR"/>
      </w:rPr>
    </w:rPrDefault>
    <w:pPrDefault>
      <w:pPr>
        <w:spacing w:after="0" w:line="26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/Relationships>
</file>