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3092"/>
      </w:tblGrid>
      <w:tr>
        <w:tc>
          <w:tcPr>
            <w:tcW w:w="7000" w:type="dxa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1B1A19"/>
                <w:spacing w:val="-6"/>
                <w:sz w:val="44"/>
                <w:szCs w:val="44"/>
              </w:rPr>
              <w:t xml:space="preserve">Joris Martin</w:t>
            </w:r>
          </w:p>
          <w:p>
            <w:pPr>
              <w:spacing w:before="0" w:after="0" w:line="240" w:lineRule="auto"/>
            </w:pPr>
            <w:r>
              <w:rPr>
                <w:color w:val="7C2D3E"/>
                <w:sz w:val="24"/>
                <w:szCs w:val="24"/>
              </w:rPr>
              <w:t xml:space="preserve">Lead Product Engineer</w:t>
            </w:r>
          </w:p>
        </w:tc>
        <w:tc>
          <w:tcPr>
            <w:tcW w:w="3092" w:type="dxa"/>
            <w:vAlign w:val="top"/>
          </w:tcPr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joris@jorg.example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06 12 34 56 78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linkedin.com/in/jorg-profile</w:t>
            </w:r>
          </w:p>
        </w:tc>
      </w:tr>
    </w:tbl>
    <w:p>
      <w:pPr>
        <w:spacing w:before="0" w:after="140" w:line="100" w:lineRule="auto"/>
      </w:pPr>
    </w:p>
    <w:tbl>
      <w:tblPr>
        <w:tblW w:w="10092" w:type="dxa"/>
        <w:tblBorders>
          <w:top w:val="single" w:sz="5" w:space="0" w:color="1B1A19"/>
          <w:bottom w:val="single" w:sz="4" w:space="0" w:color="E4E1DC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Disponibilité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Immédiate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TJM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650–750 €</w:t>
            </w:r>
            <w:r>
              <w:rPr>
                <w:color w:val="716E69"/>
                <w:sz w:val="17"/>
                <w:szCs w:val="17"/>
              </w:rPr>
              <w:t xml:space="preserve"> / jour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Mobilité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Paris</w:t>
            </w:r>
            <w:r>
              <w:rPr>
                <w:color w:val="716E69"/>
                <w:sz w:val="17"/>
                <w:szCs w:val="17"/>
              </w:rPr>
              <w:t xml:space="preserve"> · full remote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Expérience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9 ans</w:t>
            </w:r>
          </w:p>
        </w:tc>
      </w:tr>
    </w:tbl>
    <w:p>
      <w:pPr>
        <w:spacing w:before="0" w:after="120" w:line="100" w:lineRule="auto"/>
      </w:pPr>
    </w:p>
    <w:p>
      <w:pPr>
        <w:spacing w:before="0" w:after="80" w:line="300" w:lineRule="auto"/>
      </w:pPr>
      <w:r>
        <w:rPr>
          <w:color w:val="3B3936"/>
          <w:sz w:val="20"/>
          <w:szCs w:val="20"/>
        </w:rPr>
        <w:t xml:space="preserve">Consultant senior spécialisé dans la </w:t>
      </w:r>
      <w:r>
        <w:rPr>
          <w:b/>
          <w:color w:val="1B1A19"/>
          <w:sz w:val="20"/>
          <w:szCs w:val="20"/>
        </w:rPr>
        <w:t xml:space="preserve">création de plateformes SaaS</w:t>
      </w:r>
      <w:r>
        <w:rPr>
          <w:color w:val="3B3936"/>
          <w:sz w:val="20"/>
          <w:szCs w:val="20"/>
        </w:rPr>
        <w:t xml:space="preserve">, l’</w:t>
      </w:r>
      <w:r>
        <w:rPr>
          <w:b/>
          <w:color w:val="1B1A19"/>
          <w:sz w:val="20"/>
          <w:szCs w:val="20"/>
        </w:rPr>
        <w:t xml:space="preserve">industrialisation produit</w:t>
      </w:r>
      <w:r>
        <w:rPr>
          <w:color w:val="3B3936"/>
          <w:sz w:val="20"/>
          <w:szCs w:val="20"/>
        </w:rPr>
        <w:t xml:space="preserve"> et l’IA appliquée aux opérations métier.</w:t>
      </w:r>
    </w:p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Faits marquants</w:t>
      </w:r>
    </w:p>
    <w:tbl>
      <w:tblPr>
        <w:tblW w:w="100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0"/>
        <w:gridCol w:w="170"/>
        <w:gridCol w:w="3250"/>
        <w:gridCol w:w="170"/>
        <w:gridCol w:w="3250"/>
      </w:tblGrid>
      <w:tr>
        <w:tc>
          <w:tcPr>
            <w:tcW w:w="3250" w:type="dxa"/>
            <w:tcBorders>
              <w:top w:val="single" w:sz="13" w:space="0" w:color="7C2D3E"/>
            </w:tcBorders>
            <w:shd w:val="clear" w:color="auto" w:fill="F7F5F2"/>
            <w:tcMar>
              <w:top w:w="140" w:type="dxa"/>
              <w:left w:w="140" w:type="dxa"/>
              <w:bottom w:w="140" w:type="dxa"/>
              <w:right w:w="140" w:type="dxa"/>
            </w:tcMar>
            <w:vAlign w:val="top"/>
          </w:tcPr>
          <w:p>
            <w:pPr>
              <w:spacing w:before="0" w:after="50" w:line="240" w:lineRule="auto"/>
            </w:pPr>
            <w:r>
              <w:rPr>
                <w:b/>
                <w:color w:val="1B1A19"/>
                <w:sz w:val="30"/>
                <w:szCs w:val="30"/>
              </w:rPr>
              <w:t xml:space="preserve">−85 %</w:t>
            </w:r>
          </w:p>
          <w:p>
            <w:pPr>
              <w:spacing w:before="0" w:after="70" w:line="230" w:lineRule="auto"/>
            </w:pPr>
            <w:r>
              <w:rPr>
                <w:color w:val="3B3936"/>
                <w:sz w:val="17"/>
                <w:szCs w:val="17"/>
              </w:rPr>
              <w:t xml:space="preserve">Temps de constitution d’un dossier : de plusieurs heures à quelques minutes</w:t>
            </w:r>
          </w:p>
          <w:p>
            <w:pPr>
              <w:spacing w:before="0" w:after="0" w:line="240" w:lineRule="auto"/>
            </w:pPr>
            <w:r>
              <w:rPr>
                <w:color w:val="716E69"/>
                <w:sz w:val="15"/>
                <w:szCs w:val="15"/>
              </w:rPr>
              <w:t xml:space="preserve">→ FlowUp, 2024</w:t>
            </w:r>
          </w:p>
        </w:tc>
        <w:tc>
          <w:tcPr>
            <w:tcW w:w="170" w:type="dxa"/>
            <w:vAlign w:val="top"/>
          </w:tcPr>
          <w:p/>
        </w:tc>
        <w:tc>
          <w:tcPr>
            <w:tcW w:w="3250" w:type="dxa"/>
            <w:tcBorders>
              <w:top w:val="single" w:sz="13" w:space="0" w:color="7C2D3E"/>
            </w:tcBorders>
            <w:shd w:val="clear" w:color="auto" w:fill="F7F5F2"/>
            <w:tcMar>
              <w:top w:w="140" w:type="dxa"/>
              <w:left w:w="140" w:type="dxa"/>
              <w:bottom w:w="140" w:type="dxa"/>
              <w:right w:w="140" w:type="dxa"/>
            </w:tcMar>
            <w:vAlign w:val="top"/>
          </w:tcPr>
          <w:p>
            <w:pPr>
              <w:spacing w:before="0" w:after="50" w:line="240" w:lineRule="auto"/>
            </w:pPr>
            <w:r>
              <w:rPr>
                <w:b/>
                <w:color w:val="1B1A19"/>
                <w:sz w:val="30"/>
                <w:szCs w:val="30"/>
              </w:rPr>
              <w:t xml:space="preserve">−35 %</w:t>
            </w:r>
          </w:p>
          <w:p>
            <w:pPr>
              <w:spacing w:before="0" w:after="70" w:line="230" w:lineRule="auto"/>
            </w:pPr>
            <w:r>
              <w:rPr>
                <w:color w:val="3B3936"/>
                <w:sz w:val="17"/>
                <w:szCs w:val="17"/>
              </w:rPr>
              <w:t xml:space="preserve">Incidents en production sur les traitements data critiques</w:t>
            </w:r>
          </w:p>
          <w:p>
            <w:pPr>
              <w:spacing w:before="0" w:after="0" w:line="240" w:lineRule="auto"/>
            </w:pPr>
            <w:r>
              <w:rPr>
                <w:color w:val="716E69"/>
                <w:sz w:val="15"/>
                <w:szCs w:val="15"/>
              </w:rPr>
              <w:t xml:space="preserve">→ Nova Consulting, 2022</w:t>
            </w:r>
          </w:p>
        </w:tc>
        <w:tc>
          <w:tcPr>
            <w:tcW w:w="170" w:type="dxa"/>
            <w:vAlign w:val="top"/>
          </w:tcPr>
          <w:p/>
        </w:tc>
        <w:tc>
          <w:tcPr>
            <w:tcW w:w="3250" w:type="dxa"/>
            <w:tcBorders>
              <w:top w:val="single" w:sz="13" w:space="0" w:color="7C2D3E"/>
            </w:tcBorders>
            <w:shd w:val="clear" w:color="auto" w:fill="F7F5F2"/>
            <w:tcMar>
              <w:top w:w="140" w:type="dxa"/>
              <w:left w:w="140" w:type="dxa"/>
              <w:bottom w:w="140" w:type="dxa"/>
              <w:right w:w="140" w:type="dxa"/>
            </w:tcMar>
            <w:vAlign w:val="top"/>
          </w:tcPr>
          <w:p>
            <w:pPr>
              <w:spacing w:before="0" w:after="50" w:line="240" w:lineRule="auto"/>
            </w:pPr>
            <w:r>
              <w:rPr>
                <w:b/>
                <w:color w:val="1B1A19"/>
                <w:sz w:val="30"/>
                <w:szCs w:val="30"/>
              </w:rPr>
              <w:t xml:space="preserve">6 mois</w:t>
            </w:r>
          </w:p>
          <w:p>
            <w:pPr>
              <w:spacing w:before="0" w:after="70" w:line="230" w:lineRule="auto"/>
            </w:pPr>
            <w:r>
              <w:rPr>
                <w:color w:val="3B3936"/>
                <w:sz w:val="17"/>
                <w:szCs w:val="17"/>
              </w:rPr>
              <w:t xml:space="preserve">De l’alpha à la mise en production multi-clients d’une plateforme SaaS B2B</w:t>
            </w:r>
          </w:p>
          <w:p>
            <w:pPr>
              <w:spacing w:before="0" w:after="0" w:line="240" w:lineRule="auto"/>
            </w:pPr>
            <w:r>
              <w:rPr>
                <w:color w:val="716E69"/>
                <w:sz w:val="15"/>
                <w:szCs w:val="15"/>
              </w:rPr>
              <w:t xml:space="preserve">→ FlowUp, 2023</w:t>
            </w:r>
          </w:p>
        </w:tc>
      </w:tr>
    </w:tbl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Compétences</w:t>
      </w:r>
    </w:p>
    <w:p>
      <w:pPr>
        <w:spacing w:before="0" w:after="120" w:line="340" w:lineRule="auto"/>
      </w:pPr>
      <w:r>
        <w:rPr>
          <w:b/>
          <w:color w:val="5C1F2D"/>
          <w:sz w:val="19"/>
          <w:szCs w:val="19"/>
          <w:bdr w:val="single" w:sz="8" w:space="2" w:color="7C2D3E"/>
        </w:rPr>
        <w:t xml:space="preserve"> Python · avancé </w:t>
      </w:r>
      <w:r>
        <w:rPr>
          <w:sz w:val="19"/>
          <w:szCs w:val="19"/>
        </w:rPr>
        <w:t xml:space="preserve">   </w:t>
      </w:r>
      <w:r>
        <w:rPr>
          <w:b/>
          <w:color w:val="5C1F2D"/>
          <w:sz w:val="19"/>
          <w:szCs w:val="19"/>
          <w:bdr w:val="single" w:sz="8" w:space="2" w:color="7C2D3E"/>
        </w:rPr>
        <w:t xml:space="preserve"> PostgreSQL · avancé </w:t>
      </w:r>
      <w:r>
        <w:rPr>
          <w:sz w:val="19"/>
          <w:szCs w:val="19"/>
        </w:rPr>
        <w:t xml:space="preserve">   </w:t>
      </w:r>
      <w:r>
        <w:rPr>
          <w:b/>
          <w:color w:val="5C1F2D"/>
          <w:sz w:val="19"/>
          <w:szCs w:val="19"/>
          <w:bdr w:val="single" w:sz="8" w:space="2" w:color="7C2D3E"/>
        </w:rPr>
        <w:t xml:space="preserve"> Next.js · intermédiaire </w:t>
      </w:r>
      <w:r>
        <w:rPr>
          <w:sz w:val="19"/>
          <w:szCs w:val="19"/>
        </w:rPr>
        <w:t xml:space="preserve">   </w:t>
      </w:r>
      <w:r>
        <w:rPr>
          <w:b/>
          <w:color w:val="5C1F2D"/>
          <w:sz w:val="19"/>
          <w:szCs w:val="19"/>
          <w:bdr w:val="single" w:sz="8" w:space="2" w:color="7C2D3E"/>
        </w:rPr>
        <w:t xml:space="preserve"> Architecture logicielle · avancé </w:t>
      </w: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8192"/>
      </w:tblGrid>
      <w:tr>
        <w:tc>
          <w:tcPr>
            <w:tcW w:w="1900" w:type="dxa"/>
            <w:vAlign w:val="top"/>
          </w:tcPr>
          <w:p>
            <w:pPr>
              <w:spacing w:before="3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Technique</w:t>
            </w:r>
          </w:p>
        </w:tc>
        <w:tc>
          <w:tcPr>
            <w:tcW w:w="8192" w:type="dxa"/>
            <w:vAlign w:val="top"/>
          </w:tcPr>
          <w:p>
            <w:pPr>
              <w:spacing w:before="30" w:after="30" w:line="260" w:lineRule="auto"/>
            </w:pPr>
            <w:r>
              <w:rPr>
                <w:color w:val="3B3936"/>
                <w:sz w:val="17"/>
                <w:szCs w:val="17"/>
              </w:rPr>
              <w:t xml:space="preserve">FastAPI · Airflow · Docker · CI/CD GitLab · REST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3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Méthodologie</w:t>
            </w:r>
          </w:p>
        </w:tc>
        <w:tc>
          <w:tcPr>
            <w:tcW w:w="8192" w:type="dxa"/>
            <w:vAlign w:val="top"/>
          </w:tcPr>
          <w:p>
            <w:pPr>
              <w:spacing w:before="30" w:after="30" w:line="260" w:lineRule="auto"/>
            </w:pPr>
            <w:r>
              <w:rPr>
                <w:color w:val="3B3936"/>
                <w:sz w:val="17"/>
                <w:szCs w:val="17"/>
              </w:rPr>
              <w:t xml:space="preserve">Scrum · revues d’architecture · documentation technique</w:t>
            </w:r>
          </w:p>
        </w:tc>
      </w:tr>
      <w:tr>
        <w:tc>
          <w:tcPr>
            <w:tcW w:w="1900" w:type="dxa"/>
            <w:vAlign w:val="top"/>
          </w:tcPr>
          <w:p>
            <w:pPr>
              <w:spacing w:before="30" w:after="3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Fonctionnel</w:t>
            </w:r>
          </w:p>
        </w:tc>
        <w:tc>
          <w:tcPr>
            <w:tcW w:w="8192" w:type="dxa"/>
            <w:vAlign w:val="top"/>
          </w:tcPr>
          <w:p>
            <w:pPr>
              <w:spacing w:before="30" w:after="30" w:line="260" w:lineRule="auto"/>
            </w:pPr>
            <w:r>
              <w:rPr>
                <w:color w:val="3B3936"/>
                <w:sz w:val="17"/>
                <w:szCs w:val="17"/>
              </w:rPr>
              <w:t xml:space="preserve">Ateliers métier · cadrage produit · formation des équipes</w:t>
            </w:r>
          </w:p>
        </w:tc>
      </w:tr>
    </w:tbl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Expériences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Lead Engineer</w:t>
      </w:r>
      <w:r>
        <w:rPr>
          <w:color w:val="3B3936"/>
          <w:sz w:val="22"/>
          <w:szCs w:val="22"/>
        </w:rPr>
        <w:t xml:space="preserve">  —  FlowUp</w:t>
      </w:r>
      <w:r>
        <w:tab/>
      </w:r>
      <w:r>
        <w:rPr>
          <w:color w:val="716E69"/>
          <w:sz w:val="17"/>
          <w:szCs w:val="17"/>
        </w:rPr>
        <w:t xml:space="preserve">01/2023 — auj.</w:t>
      </w:r>
    </w:p>
    <w:p>
      <w:pPr>
        <w:keepNext/>
        <w:keepLines/>
        <w:spacing w:before="0" w:after="30" w:line="250" w:lineRule="auto"/>
      </w:pPr>
      <w:r>
        <w:rPr>
          <w:color w:val="716E69"/>
          <w:sz w:val="17"/>
          <w:szCs w:val="17"/>
        </w:rPr>
        <w:t xml:space="preserve">Produit SaaS B2B en phase alpha — enjeux de confidentialité et d’automatisation.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Stack — </w:t>
      </w:r>
      <w:r>
        <w:rPr>
          <w:color w:val="A8A49E"/>
          <w:spacing w:val="4"/>
          <w:sz w:val="15"/>
          <w:szCs w:val="15"/>
        </w:rPr>
        <w:t xml:space="preserve">PostgreSQL · Next.js · FastAPI · Docker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Automatisation de la constitution des dossiers (FastAPI, génération standardisée) : </w:t>
      </w:r>
      <w:r>
        <w:rPr>
          <w:b/>
          <w:color w:val="1B1A19"/>
          <w:sz w:val="19"/>
          <w:szCs w:val="19"/>
        </w:rPr>
        <w:t xml:space="preserve">de plusieurs heures à quelques minutes </w:t>
      </w:r>
      <w:r>
        <w:rPr>
          <w:b/>
          <w:color w:val="5C1F2D"/>
          <w:sz w:val="19"/>
          <w:szCs w:val="19"/>
        </w:rPr>
        <w:t xml:space="preserve">(−85 %)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Plateforme menée </w:t>
      </w:r>
      <w:r>
        <w:rPr>
          <w:b/>
          <w:color w:val="1B1A19"/>
          <w:sz w:val="19"/>
          <w:szCs w:val="19"/>
        </w:rPr>
        <w:t xml:space="preserve">de l’alpha à la production multi-clients en 6 mois</w:t>
      </w:r>
      <w:r>
        <w:rPr>
          <w:color w:val="3B3936"/>
          <w:sz w:val="19"/>
          <w:szCs w:val="19"/>
        </w:rPr>
        <w:t xml:space="preserve">, sans interruption de service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Conception du modèle de données expériences / réalisations et de l’export PDF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Mise en place de la CI/CD et des revues d’architecture de l’équipe</w:t>
      </w:r>
    </w:p>
    <w:p>
      <w:pPr>
        <w:keepNext/>
        <w:keepLines/>
        <w:pageBreakBefore/>
        <w:pBdr>
          <w:bottom w:val="single" w:sz="4" w:space="4" w:color="E4E1DC"/>
        </w:pBdr>
        <w:spacing w:before="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Expériences — suite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Data Engineer</w:t>
      </w:r>
      <w:r>
        <w:rPr>
          <w:color w:val="3B3936"/>
          <w:sz w:val="22"/>
          <w:szCs w:val="22"/>
        </w:rPr>
        <w:t xml:space="preserve">  —  Nova Consulting</w:t>
      </w:r>
      <w:r>
        <w:tab/>
      </w:r>
      <w:r>
        <w:rPr>
          <w:color w:val="716E69"/>
          <w:sz w:val="17"/>
          <w:szCs w:val="17"/>
        </w:rPr>
        <w:t xml:space="preserve">03/2020 — 12/2022</w:t>
      </w:r>
    </w:p>
    <w:p>
      <w:pPr>
        <w:keepNext/>
        <w:keepLines/>
        <w:spacing w:before="0" w:after="30" w:line="250" w:lineRule="auto"/>
      </w:pPr>
      <w:r>
        <w:rPr>
          <w:color w:val="716E69"/>
          <w:sz w:val="17"/>
          <w:szCs w:val="17"/>
        </w:rPr>
        <w:t xml:space="preserve">Programme de transformation data multi-équipes.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Stack — </w:t>
      </w:r>
      <w:r>
        <w:rPr>
          <w:color w:val="A8A49E"/>
          <w:spacing w:val="4"/>
          <w:sz w:val="15"/>
          <w:szCs w:val="15"/>
        </w:rPr>
        <w:t xml:space="preserve">Airflow · Python · PostgreSQL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Fiabilisation des traitements critiques (Airflow) : </w:t>
      </w:r>
      <w:r>
        <w:rPr>
          <w:b/>
          <w:color w:val="1B1A19"/>
          <w:sz w:val="19"/>
          <w:szCs w:val="19"/>
        </w:rPr>
        <w:t xml:space="preserve">−35 % d’incidents </w:t>
      </w:r>
      <w:r>
        <w:rPr>
          <w:b/>
          <w:color w:val="5C1F2D"/>
          <w:sz w:val="19"/>
          <w:szCs w:val="19"/>
        </w:rPr>
        <w:t xml:space="preserve">en production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Industrialisation des pipelines data et accompagnement des équipes métier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Animation d’ateliers de cadrage avec les directions data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Développeur back-end</w:t>
      </w:r>
      <w:r>
        <w:rPr>
          <w:color w:val="3B3936"/>
          <w:sz w:val="22"/>
          <w:szCs w:val="22"/>
        </w:rPr>
        <w:t xml:space="preserve">  —  Altea Conseil</w:t>
      </w:r>
      <w:r>
        <w:tab/>
      </w:r>
      <w:r>
        <w:rPr>
          <w:color w:val="716E69"/>
          <w:sz w:val="17"/>
          <w:szCs w:val="17"/>
        </w:rPr>
        <w:t xml:space="preserve">09/2015 — 02/2020</w:t>
      </w:r>
    </w:p>
    <w:p>
      <w:pPr>
        <w:keepNext/>
        <w:keepLines/>
        <w:spacing w:before="0" w:after="30" w:line="250" w:lineRule="auto"/>
      </w:pPr>
      <w:r>
        <w:rPr>
          <w:color w:val="716E69"/>
          <w:sz w:val="17"/>
          <w:szCs w:val="17"/>
        </w:rPr>
        <w:t xml:space="preserve">Missions de développement pour des clients grands comptes (banque, énergie).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Stack — </w:t>
      </w:r>
      <w:r>
        <w:rPr>
          <w:color w:val="A8A49E"/>
          <w:spacing w:val="4"/>
          <w:sz w:val="15"/>
          <w:szCs w:val="15"/>
        </w:rPr>
        <w:t xml:space="preserve">Python · PostgreSQL · Django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Développement et maintenance d’API métier pour trois clients grands comptes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Montée en compétence de l’équipe sur les tests automatisés</w:t>
      </w:r>
    </w:p>
    <w:p>
      <w:pPr>
        <w:spacing w:before="0" w:after="120" w:line="100" w:lineRule="auto"/>
      </w:pP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1"/>
        <w:gridCol w:w="290"/>
        <w:gridCol w:w="4901"/>
      </w:tblGrid>
      <w:tr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20" w:line="240" w:lineRule="auto"/>
            </w:pPr>
            <w:r>
              <w:rPr>
                <w:b/>
                <w:color w:val="7C2D3E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Formation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Diplôme d’ingénieur, Informatique</w:t>
            </w:r>
          </w:p>
          <w:p>
            <w:pPr>
              <w:spacing w:before="0" w:after="40" w:line="280" w:lineRule="auto"/>
            </w:pPr>
            <w:r>
              <w:rPr>
                <w:color w:val="716E69"/>
                <w:sz w:val="17"/>
                <w:szCs w:val="17"/>
              </w:rPr>
              <w:t xml:space="preserve">INSA Lyon · 2010 — 2015</w:t>
            </w:r>
          </w:p>
        </w:tc>
        <w:tc>
          <w:tcPr>
            <w:tcW w:w="290" w:type="dxa"/>
            <w:vAlign w:val="top"/>
          </w:tcPr>
          <w:p/>
        </w:tc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20" w:line="240" w:lineRule="auto"/>
            </w:pPr>
            <w:r>
              <w:rPr>
                <w:b/>
                <w:color w:val="7C2D3E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Certifications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AWS Solutions Architect — Associate</w:t>
            </w:r>
          </w:p>
          <w:p>
            <w:pPr>
              <w:spacing w:before="0" w:after="40" w:line="280" w:lineRule="auto"/>
            </w:pPr>
            <w:r>
              <w:rPr>
                <w:color w:val="716E69"/>
                <w:sz w:val="17"/>
                <w:szCs w:val="17"/>
              </w:rPr>
              <w:t xml:space="preserve">Amazon Web Services · 05/2022</w:t>
            </w:r>
          </w:p>
        </w:tc>
      </w:tr>
    </w:tbl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Langues</w:t>
      </w:r>
    </w:p>
    <w:p>
      <w:pPr>
        <w:spacing w:before="0" w:after="40" w:line="280" w:lineRule="auto"/>
      </w:pPr>
      <w:r>
        <w:rPr>
          <w:b/>
          <w:color w:val="1B1A19"/>
          <w:sz w:val="17"/>
          <w:szCs w:val="17"/>
        </w:rPr>
        <w:t xml:space="preserve">Français</w:t>
      </w:r>
      <w:r>
        <w:rPr>
          <w:color w:val="3B3936"/>
          <w:sz w:val="17"/>
          <w:szCs w:val="17"/>
        </w:rPr>
        <w:t xml:space="preserve"> — langue maternelle      </w:t>
      </w:r>
      <w:r>
        <w:rPr>
          <w:b/>
          <w:color w:val="1B1A19"/>
          <w:sz w:val="17"/>
          <w:szCs w:val="17"/>
        </w:rPr>
        <w:t xml:space="preserve">Anglais</w:t>
      </w:r>
      <w:r>
        <w:rPr>
          <w:color w:val="3B3936"/>
          <w:sz w:val="17"/>
          <w:szCs w:val="17"/>
        </w:rPr>
        <w:t xml:space="preserve"> — C1, courant professionnel</w:t>
      </w:r>
    </w:p>
    <w:sectPr>
      <w:footerReference w:type="default" r:id="rId2"/>
      <w:pgSz w:w="11906" w:h="16838"/>
      <w:pgMar w:top="794" w:right="907" w:bottom="850" w:left="907" w:header="567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E4E1DC"/>
      </w:pBdr>
      <w:tabs>
        <w:tab w:val="right" w:pos="10092"/>
      </w:tabs>
      <w:spacing w:before="60" w:after="0" w:line="240" w:lineRule="auto"/>
    </w:pPr>
    <w:r>
      <w:rPr>
        <w:color w:val="A8A49E"/>
        <w:spacing w:val="10"/>
        <w:sz w:val="13"/>
        <w:szCs w:val="13"/>
      </w:rPr>
      <w:t xml:space="preserve">Joris Martin — Lead Product Engineer</w:t>
    </w:r>
    <w:r>
      <w:tab/>
    </w:r>
    <w:r>
      <w:rPr>
        <w:color w:val="A8A49E"/>
        <w:spacing w:val="10"/>
        <w:sz w:val="13"/>
        <w:szCs w:val="13"/>
      </w:rPr>
      <w:t xml:space="preserve">Dossier de compétences · 06/2026 · </w:t>
    </w:r>
    <w:fldSimple w:instr=" PAGE ">
      <w:r>
        <w:rPr>
          <w:color w:val="A8A49E"/>
          <w:sz w:val="13"/>
          <w:szCs w:val="13"/>
        </w:rPr>
        <w:t>1</w:t>
      </w:r>
    </w:fldSimple>
    <w:r>
      <w:rPr>
        <w:color w:val="A8A49E"/>
        <w:sz w:val="13"/>
        <w:szCs w:val="13"/>
      </w:rPr>
      <w:t xml:space="preserve">/</w:t>
    </w:r>
    <w:fldSimple w:instr=" NUMPAGES ">
      <w:r>
        <w:rPr>
          <w:color w:val="A8A49E"/>
          <w:sz w:val="13"/>
          <w:szCs w:val="13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3B3936"/>
        <w:sz w:val="19"/>
        <w:szCs w:val="19"/>
        <w:lang w:val="fr-FR"/>
      </w:rPr>
    </w:rPrDefault>
    <w:pPrDefault>
      <w:pPr>
        <w:spacing w:after="0" w:line="2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