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376" w:rsidRDefault="00A97FD3">
      <w:pPr>
        <w:spacing w:after="0" w:line="259" w:lineRule="auto"/>
        <w:ind w:left="0" w:right="68" w:firstLine="0"/>
        <w:jc w:val="center"/>
      </w:pPr>
      <w:r>
        <w:rPr>
          <w:b/>
          <w:sz w:val="34"/>
        </w:rPr>
        <w:t xml:space="preserve"> SIMATS ENGINEERING </w:t>
      </w:r>
    </w:p>
    <w:p w:rsidR="008A3376" w:rsidRDefault="00A97FD3">
      <w:pPr>
        <w:spacing w:after="81" w:line="259" w:lineRule="auto"/>
        <w:ind w:left="0" w:right="68" w:firstLine="0"/>
        <w:jc w:val="center"/>
      </w:pPr>
      <w:r>
        <w:rPr>
          <w:b/>
          <w:sz w:val="28"/>
        </w:rPr>
        <w:t xml:space="preserve">ASSESSMENT TOOL 3  </w:t>
      </w:r>
    </w:p>
    <w:p w:rsidR="008A3376" w:rsidRDefault="00A97FD3">
      <w:pPr>
        <w:spacing w:after="0" w:line="259" w:lineRule="auto"/>
        <w:ind w:left="28" w:right="0" w:firstLine="0"/>
        <w:jc w:val="center"/>
      </w:pPr>
      <w:r>
        <w:rPr>
          <w:b/>
          <w:sz w:val="34"/>
        </w:rPr>
        <w:t xml:space="preserve"> </w:t>
      </w:r>
    </w:p>
    <w:p w:rsidR="008A3376" w:rsidRDefault="00A97FD3">
      <w:pPr>
        <w:pStyle w:val="Heading1"/>
        <w:tabs>
          <w:tab w:val="center" w:pos="5668"/>
        </w:tabs>
        <w:spacing w:after="47" w:line="259" w:lineRule="auto"/>
        <w:ind w:left="-15" w:firstLine="0"/>
      </w:pPr>
      <w:r>
        <w:rPr>
          <w:color w:val="000000"/>
          <w:sz w:val="24"/>
        </w:rPr>
        <w:t xml:space="preserve">COURSE CODE: </w:t>
      </w:r>
      <w:r>
        <w:rPr>
          <w:color w:val="000000"/>
          <w:sz w:val="24"/>
        </w:rPr>
        <w:tab/>
        <w:t xml:space="preserve">CSA51   COURSE NAME: Cryptography and Network Security  </w:t>
      </w:r>
    </w:p>
    <w:p w:rsidR="008A3376" w:rsidRDefault="00A97FD3">
      <w:pPr>
        <w:spacing w:after="47" w:line="259" w:lineRule="auto"/>
        <w:ind w:left="0" w:right="0" w:firstLine="0"/>
        <w:jc w:val="left"/>
      </w:pPr>
      <w:r>
        <w:rPr>
          <w:b/>
        </w:rPr>
        <w:t xml:space="preserve"> </w:t>
      </w:r>
      <w:r>
        <w:rPr>
          <w:b/>
        </w:rPr>
        <w:tab/>
        <w:t xml:space="preserve"> </w:t>
      </w:r>
    </w:p>
    <w:p w:rsidR="008A3376" w:rsidRDefault="00A97FD3">
      <w:pPr>
        <w:spacing w:after="29" w:line="259" w:lineRule="auto"/>
        <w:ind w:left="0" w:right="0" w:firstLine="0"/>
        <w:jc w:val="left"/>
      </w:pPr>
      <w:r>
        <w:rPr>
          <w:b/>
        </w:rPr>
        <w:t xml:space="preserve"> </w:t>
      </w:r>
      <w:r>
        <w:rPr>
          <w:b/>
        </w:rPr>
        <w:tab/>
        <w:t xml:space="preserve"> </w:t>
      </w:r>
    </w:p>
    <w:p w:rsidR="008A3376" w:rsidRDefault="00A97FD3">
      <w:pPr>
        <w:spacing w:after="45" w:line="259" w:lineRule="auto"/>
        <w:ind w:left="0" w:right="0" w:firstLine="0"/>
        <w:jc w:val="left"/>
      </w:pPr>
      <w:r>
        <w:rPr>
          <w:b/>
        </w:rPr>
        <w:t xml:space="preserve"> </w:t>
      </w:r>
    </w:p>
    <w:p w:rsidR="008A3376" w:rsidRDefault="00A97FD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extent cx="6018276" cy="19812"/>
                <wp:effectExtent l="0" t="0" r="0" b="0"/>
                <wp:docPr id="16090" name="Group 16090"/>
                <wp:cNvGraphicFramePr/>
                <a:graphic xmlns:a="http://schemas.openxmlformats.org/drawingml/2006/main">
                  <a:graphicData uri="http://schemas.microsoft.com/office/word/2010/wordprocessingGroup">
                    <wpg:wgp>
                      <wpg:cNvGrpSpPr/>
                      <wpg:grpSpPr>
                        <a:xfrm>
                          <a:off x="0" y="0"/>
                          <a:ext cx="6018276" cy="19812"/>
                          <a:chOff x="0" y="0"/>
                          <a:chExt cx="6018276" cy="19812"/>
                        </a:xfrm>
                      </wpg:grpSpPr>
                      <wps:wsp>
                        <wps:cNvPr id="21258" name="Shape 21258"/>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9" name="Shape 21259"/>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0" name="Shape 21260"/>
                        <wps:cNvSpPr/>
                        <wps:spPr>
                          <a:xfrm>
                            <a:off x="3353" y="0"/>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1" name="Shape 21261"/>
                        <wps:cNvSpPr/>
                        <wps:spPr>
                          <a:xfrm>
                            <a:off x="6015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2" name="Shape 21262"/>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3" name="Shape 21263"/>
                        <wps:cNvSpPr/>
                        <wps:spPr>
                          <a:xfrm>
                            <a:off x="601522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4" name="Shape 21264"/>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5" name="Shape 21265"/>
                        <wps:cNvSpPr/>
                        <wps:spPr>
                          <a:xfrm>
                            <a:off x="3353" y="16764"/>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6" name="Shape 21266"/>
                        <wps:cNvSpPr/>
                        <wps:spPr>
                          <a:xfrm>
                            <a:off x="601522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090" style="width:473.88pt;height:1.56pt;mso-position-horizontal-relative:char;mso-position-vertical-relative:line" coordsize="60182,198">
                <v:shape id="Shape 21267" style="position:absolute;width:60166;height:196;left:0;top:0;" coordsize="6016625,19685" path="m0,0l6016625,0l6016625,19685l0,19685l0,0">
                  <v:stroke weight="0pt" endcap="flat" joinstyle="miter" miterlimit="10" on="false" color="#000000" opacity="0"/>
                  <v:fill on="true" color="#a0a0a0"/>
                </v:shape>
                <v:shape id="Shape 21268" style="position:absolute;width:91;height:91;left:3;top:0;" coordsize="9144,9144" path="m0,0l9144,0l9144,9144l0,9144l0,0">
                  <v:stroke weight="0pt" endcap="flat" joinstyle="miter" miterlimit="10" on="false" color="#000000" opacity="0"/>
                  <v:fill on="true" color="#a0a0a0"/>
                </v:shape>
                <v:shape id="Shape 21269" style="position:absolute;width:60119;height:91;left:33;top:0;" coordsize="6011926,9144" path="m0,0l6011926,0l6011926,9144l0,9144l0,0">
                  <v:stroke weight="0pt" endcap="flat" joinstyle="miter" miterlimit="10" on="false" color="#000000" opacity="0"/>
                  <v:fill on="true" color="#a0a0a0"/>
                </v:shape>
                <v:shape id="Shape 21270" style="position:absolute;width:91;height:91;left:60152;top:0;" coordsize="9144,9144" path="m0,0l9144,0l9144,9144l0,9144l0,0">
                  <v:stroke weight="0pt" endcap="flat" joinstyle="miter" miterlimit="10" on="false" color="#000000" opacity="0"/>
                  <v:fill on="true" color="#a0a0a0"/>
                </v:shape>
                <v:shape id="Shape 21271" style="position:absolute;width:91;height:137;left:3;top:30;" coordsize="9144,13716" path="m0,0l9144,0l9144,13716l0,13716l0,0">
                  <v:stroke weight="0pt" endcap="flat" joinstyle="miter" miterlimit="10" on="false" color="#000000" opacity="0"/>
                  <v:fill on="true" color="#a0a0a0"/>
                </v:shape>
                <v:shape id="Shape 21272" style="position:absolute;width:91;height:137;left:60152;top:30;" coordsize="9144,13716" path="m0,0l9144,0l9144,13716l0,13716l0,0">
                  <v:stroke weight="0pt" endcap="flat" joinstyle="miter" miterlimit="10" on="false" color="#000000" opacity="0"/>
                  <v:fill on="true" color="#e3e3e3"/>
                </v:shape>
                <v:shape id="Shape 21273" style="position:absolute;width:91;height:91;left:3;top:167;" coordsize="9144,9144" path="m0,0l9144,0l9144,9144l0,9144l0,0">
                  <v:stroke weight="0pt" endcap="flat" joinstyle="miter" miterlimit="10" on="false" color="#000000" opacity="0"/>
                  <v:fill on="true" color="#e3e3e3"/>
                </v:shape>
                <v:shape id="Shape 21274" style="position:absolute;width:60119;height:91;left:33;top:167;" coordsize="6011926,9144" path="m0,0l6011926,0l6011926,9144l0,9144l0,0">
                  <v:stroke weight="0pt" endcap="flat" joinstyle="miter" miterlimit="10" on="false" color="#000000" opacity="0"/>
                  <v:fill on="true" color="#e3e3e3"/>
                </v:shape>
                <v:shape id="Shape 21275" style="position:absolute;width:91;height:91;left:60152;top:167;" coordsize="9144,9144" path="m0,0l9144,0l9144,9144l0,9144l0,0">
                  <v:stroke weight="0pt" endcap="flat" joinstyle="miter" miterlimit="10" on="false" color="#000000" opacity="0"/>
                  <v:fill on="true" color="#e3e3e3"/>
                </v:shape>
              </v:group>
            </w:pict>
          </mc:Fallback>
        </mc:AlternateContent>
      </w:r>
      <w:r>
        <w:rPr>
          <w:b/>
        </w:rPr>
        <w:t xml:space="preserve"> </w:t>
      </w:r>
    </w:p>
    <w:p w:rsidR="008A3376" w:rsidRDefault="00A97FD3">
      <w:pPr>
        <w:spacing w:after="19" w:line="259" w:lineRule="auto"/>
        <w:ind w:left="0" w:right="0" w:firstLine="0"/>
        <w:jc w:val="left"/>
      </w:pPr>
      <w:r>
        <w:rPr>
          <w:b/>
        </w:rPr>
        <w:t xml:space="preserve"> </w:t>
      </w:r>
    </w:p>
    <w:p w:rsidR="008A3376" w:rsidRDefault="00A97FD3">
      <w:pPr>
        <w:pStyle w:val="Heading1"/>
        <w:spacing w:after="21" w:line="259" w:lineRule="auto"/>
        <w:ind w:left="-5"/>
      </w:pPr>
      <w:r>
        <w:rPr>
          <w:color w:val="000000"/>
          <w:sz w:val="24"/>
        </w:rPr>
        <w:t xml:space="preserve">COURSE OUTCOME COVERED </w:t>
      </w:r>
    </w:p>
    <w:p w:rsidR="008A3376" w:rsidRDefault="00A97FD3">
      <w:pPr>
        <w:spacing w:after="19" w:line="259" w:lineRule="auto"/>
        <w:ind w:left="0" w:right="0" w:firstLine="0"/>
        <w:jc w:val="left"/>
      </w:pPr>
      <w:r>
        <w:rPr>
          <w:b/>
        </w:rPr>
        <w:t xml:space="preserve"> </w:t>
      </w:r>
    </w:p>
    <w:p w:rsidR="008A3376" w:rsidRDefault="00A97FD3">
      <w:pPr>
        <w:spacing w:after="9" w:line="267" w:lineRule="auto"/>
        <w:ind w:left="-5" w:right="0"/>
        <w:jc w:val="left"/>
      </w:pPr>
      <w:r>
        <w:rPr>
          <w:b/>
        </w:rPr>
        <w:t xml:space="preserve">CO4: </w:t>
      </w:r>
      <w:r>
        <w:rPr>
          <w:i/>
        </w:rPr>
        <w:t xml:space="preserve">Implement best security practices for IP, email, and web service using PGP, S/MIME for enhancing email Security.CO </w:t>
      </w:r>
      <w:r>
        <w:t xml:space="preserve">(BL3, BL6) </w:t>
      </w:r>
    </w:p>
    <w:p w:rsidR="008A3376" w:rsidRDefault="00A97FD3">
      <w:pPr>
        <w:spacing w:after="21" w:line="259" w:lineRule="auto"/>
        <w:ind w:left="0" w:right="0" w:firstLine="0"/>
        <w:jc w:val="left"/>
      </w:pPr>
      <w:r>
        <w:t xml:space="preserve"> </w:t>
      </w:r>
    </w:p>
    <w:p w:rsidR="008A3376" w:rsidRDefault="00A97FD3">
      <w:pPr>
        <w:spacing w:after="9" w:line="267" w:lineRule="auto"/>
        <w:ind w:left="-5" w:right="0"/>
        <w:jc w:val="left"/>
      </w:pPr>
      <w:r>
        <w:rPr>
          <w:i/>
        </w:rPr>
        <w:t xml:space="preserve">Assessment Tool Weightage: 10% </w:t>
      </w:r>
    </w:p>
    <w:p w:rsidR="008A3376" w:rsidRDefault="00A97FD3">
      <w:pPr>
        <w:spacing w:after="45" w:line="259" w:lineRule="auto"/>
        <w:ind w:left="0" w:right="0" w:firstLine="0"/>
        <w:jc w:val="left"/>
      </w:pPr>
      <w:r>
        <w:t xml:space="preserve"> </w:t>
      </w:r>
    </w:p>
    <w:p w:rsidR="008A3376" w:rsidRDefault="00A97FD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extent cx="6018276" cy="20574"/>
                <wp:effectExtent l="0" t="0" r="0" b="0"/>
                <wp:docPr id="16091" name="Group 16091"/>
                <wp:cNvGraphicFramePr/>
                <a:graphic xmlns:a="http://schemas.openxmlformats.org/drawingml/2006/main">
                  <a:graphicData uri="http://schemas.microsoft.com/office/word/2010/wordprocessingGroup">
                    <wpg:wgp>
                      <wpg:cNvGrpSpPr/>
                      <wpg:grpSpPr>
                        <a:xfrm>
                          <a:off x="0" y="0"/>
                          <a:ext cx="6018276" cy="20574"/>
                          <a:chOff x="0" y="0"/>
                          <a:chExt cx="6018276" cy="20574"/>
                        </a:xfrm>
                      </wpg:grpSpPr>
                      <wps:wsp>
                        <wps:cNvPr id="21276" name="Shape 21276"/>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7" name="Shape 2127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8" name="Shape 21278"/>
                        <wps:cNvSpPr/>
                        <wps:spPr>
                          <a:xfrm>
                            <a:off x="3353" y="762"/>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9" name="Shape 21279"/>
                        <wps:cNvSpPr/>
                        <wps:spPr>
                          <a:xfrm>
                            <a:off x="601522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0" name="Shape 21280"/>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1" name="Shape 21281"/>
                        <wps:cNvSpPr/>
                        <wps:spPr>
                          <a:xfrm>
                            <a:off x="601522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2" name="Shape 21282"/>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3" name="Shape 21283"/>
                        <wps:cNvSpPr/>
                        <wps:spPr>
                          <a:xfrm>
                            <a:off x="3353" y="17526"/>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4" name="Shape 21284"/>
                        <wps:cNvSpPr/>
                        <wps:spPr>
                          <a:xfrm>
                            <a:off x="601522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091" style="width:473.88pt;height:1.62pt;mso-position-horizontal-relative:char;mso-position-vertical-relative:line" coordsize="60182,205">
                <v:shape id="Shape 21285" style="position:absolute;width:60166;height:196;left:0;top:0;" coordsize="6016625,19685" path="m0,0l6016625,0l6016625,19685l0,19685l0,0">
                  <v:stroke weight="0pt" endcap="flat" joinstyle="miter" miterlimit="10" on="false" color="#000000" opacity="0"/>
                  <v:fill on="true" color="#a0a0a0"/>
                </v:shape>
                <v:shape id="Shape 21286" style="position:absolute;width:91;height:91;left:3;top:7;" coordsize="9144,9144" path="m0,0l9144,0l9144,9144l0,9144l0,0">
                  <v:stroke weight="0pt" endcap="flat" joinstyle="miter" miterlimit="10" on="false" color="#000000" opacity="0"/>
                  <v:fill on="true" color="#a0a0a0"/>
                </v:shape>
                <v:shape id="Shape 21287" style="position:absolute;width:60119;height:91;left:33;top:7;" coordsize="6011926,9144" path="m0,0l6011926,0l6011926,9144l0,9144l0,0">
                  <v:stroke weight="0pt" endcap="flat" joinstyle="miter" miterlimit="10" on="false" color="#000000" opacity="0"/>
                  <v:fill on="true" color="#a0a0a0"/>
                </v:shape>
                <v:shape id="Shape 21288" style="position:absolute;width:91;height:91;left:60152;top:7;" coordsize="9144,9144" path="m0,0l9144,0l9144,9144l0,9144l0,0">
                  <v:stroke weight="0pt" endcap="flat" joinstyle="miter" miterlimit="10" on="false" color="#000000" opacity="0"/>
                  <v:fill on="true" color="#a0a0a0"/>
                </v:shape>
                <v:shape id="Shape 21289" style="position:absolute;width:91;height:137;left:3;top:38;" coordsize="9144,13716" path="m0,0l9144,0l9144,13716l0,13716l0,0">
                  <v:stroke weight="0pt" endcap="flat" joinstyle="miter" miterlimit="10" on="false" color="#000000" opacity="0"/>
                  <v:fill on="true" color="#a0a0a0"/>
                </v:shape>
                <v:shape id="Shape 21290" style="position:absolute;width:91;height:137;left:60152;top:38;" coordsize="9144,13716" path="m0,0l9144,0l9144,13716l0,13716l0,0">
                  <v:stroke weight="0pt" endcap="flat" joinstyle="miter" miterlimit="10" on="false" color="#000000" opacity="0"/>
                  <v:fill on="true" color="#e3e3e3"/>
                </v:shape>
                <v:shape id="Shape 21291" style="position:absolute;width:91;height:91;left:3;top:175;" coordsize="9144,9144" path="m0,0l9144,0l9144,9144l0,9144l0,0">
                  <v:stroke weight="0pt" endcap="flat" joinstyle="miter" miterlimit="10" on="false" color="#000000" opacity="0"/>
                  <v:fill on="true" color="#e3e3e3"/>
                </v:shape>
                <v:shape id="Shape 21292" style="position:absolute;width:60119;height:91;left:33;top:175;" coordsize="6011926,9144" path="m0,0l6011926,0l6011926,9144l0,9144l0,0">
                  <v:stroke weight="0pt" endcap="flat" joinstyle="miter" miterlimit="10" on="false" color="#000000" opacity="0"/>
                  <v:fill on="true" color="#e3e3e3"/>
                </v:shape>
                <v:shape id="Shape 21293" style="position:absolute;width:91;height:91;left:60152;top:175;" coordsize="9144,9144" path="m0,0l9144,0l9144,9144l0,9144l0,0">
                  <v:stroke weight="0pt" endcap="flat" joinstyle="miter" miterlimit="10" on="false" color="#000000" opacity="0"/>
                  <v:fill on="true" color="#e3e3e3"/>
                </v:shape>
              </v:group>
            </w:pict>
          </mc:Fallback>
        </mc:AlternateContent>
      </w:r>
      <w:r>
        <w:t xml:space="preserve"> </w:t>
      </w:r>
    </w:p>
    <w:p w:rsidR="008A3376" w:rsidRDefault="00A97FD3">
      <w:pPr>
        <w:spacing w:after="42" w:line="259" w:lineRule="auto"/>
        <w:ind w:left="0" w:right="0" w:firstLine="0"/>
        <w:jc w:val="left"/>
      </w:pPr>
      <w:r>
        <w:t xml:space="preserve"> </w:t>
      </w:r>
    </w:p>
    <w:p w:rsidR="008A3376" w:rsidRDefault="00A97FD3">
      <w:pPr>
        <w:pStyle w:val="Heading1"/>
        <w:tabs>
          <w:tab w:val="center" w:pos="2161"/>
          <w:tab w:val="center" w:pos="2881"/>
          <w:tab w:val="center" w:pos="3601"/>
          <w:tab w:val="center" w:pos="4321"/>
          <w:tab w:val="center" w:pos="5041"/>
          <w:tab w:val="center" w:pos="7441"/>
        </w:tabs>
        <w:spacing w:after="27" w:line="259" w:lineRule="auto"/>
        <w:ind w:left="-15" w:firstLine="0"/>
      </w:pPr>
      <w:r>
        <w:rPr>
          <w:color w:val="000000"/>
          <w:sz w:val="24"/>
        </w:rPr>
        <w:t xml:space="preserve">QUESTIONS: 5 </w:t>
      </w:r>
      <w:r>
        <w:rPr>
          <w:color w:val="000000"/>
          <w:sz w:val="24"/>
        </w:rPr>
        <w:tab/>
        <w:t xml:space="preserve"> </w:t>
      </w:r>
      <w:r>
        <w:rPr>
          <w:color w:val="000000"/>
          <w:sz w:val="24"/>
        </w:rPr>
        <w:tab/>
        <w:t xml:space="preserve"> </w:t>
      </w:r>
      <w:r>
        <w:rPr>
          <w:color w:val="000000"/>
          <w:sz w:val="24"/>
        </w:rPr>
        <w:tab/>
        <w:t xml:space="preserve"> </w:t>
      </w:r>
      <w:r>
        <w:rPr>
          <w:color w:val="000000"/>
          <w:sz w:val="24"/>
        </w:rPr>
        <w:tab/>
        <w:t xml:space="preserve"> </w:t>
      </w:r>
      <w:r>
        <w:rPr>
          <w:color w:val="000000"/>
          <w:sz w:val="24"/>
        </w:rPr>
        <w:tab/>
        <w:t xml:space="preserve"> </w:t>
      </w:r>
      <w:r>
        <w:rPr>
          <w:color w:val="000000"/>
          <w:sz w:val="24"/>
        </w:rPr>
        <w:tab/>
        <w:t xml:space="preserve">                  TOTAL MARKS: 25 </w:t>
      </w:r>
    </w:p>
    <w:p w:rsidR="008A3376" w:rsidRDefault="00A97FD3">
      <w:pPr>
        <w:spacing w:after="19" w:line="259" w:lineRule="auto"/>
        <w:ind w:left="0" w:right="0" w:firstLine="0"/>
        <w:jc w:val="left"/>
      </w:pPr>
      <w:r>
        <w:rPr>
          <w:b/>
        </w:rPr>
        <w:t xml:space="preserve"> </w:t>
      </w:r>
    </w:p>
    <w:p w:rsidR="008A3376" w:rsidRDefault="00A97FD3">
      <w:pPr>
        <w:spacing w:after="19" w:line="259" w:lineRule="auto"/>
        <w:ind w:left="0" w:right="68" w:firstLine="0"/>
        <w:jc w:val="center"/>
      </w:pPr>
      <w:r>
        <w:rPr>
          <w:b/>
        </w:rPr>
        <w:t xml:space="preserve">Annexure A </w:t>
      </w:r>
    </w:p>
    <w:p w:rsidR="008A3376" w:rsidRDefault="00A97FD3">
      <w:pPr>
        <w:spacing w:after="20" w:line="259" w:lineRule="auto"/>
        <w:ind w:left="10" w:right="72"/>
        <w:jc w:val="center"/>
      </w:pPr>
      <w:r>
        <w:rPr>
          <w:b/>
          <w:i/>
        </w:rPr>
        <w:t>Comparative Analysis</w:t>
      </w:r>
      <w:r>
        <w:rPr>
          <w:b/>
        </w:rPr>
        <w:t xml:space="preserve"> </w:t>
      </w:r>
    </w:p>
    <w:p w:rsidR="008A3376" w:rsidRDefault="00A97FD3">
      <w:pPr>
        <w:spacing w:after="21" w:line="259" w:lineRule="auto"/>
        <w:ind w:left="0" w:right="0" w:firstLine="0"/>
        <w:jc w:val="left"/>
      </w:pPr>
      <w:r>
        <w:t xml:space="preserve"> </w:t>
      </w:r>
    </w:p>
    <w:p w:rsidR="008A3376" w:rsidRDefault="00A97FD3">
      <w:pPr>
        <w:spacing w:after="45" w:line="259" w:lineRule="auto"/>
        <w:ind w:left="0" w:right="0" w:firstLine="0"/>
        <w:jc w:val="left"/>
      </w:pPr>
      <w:r>
        <w:rPr>
          <w:b/>
        </w:rPr>
        <w:t xml:space="preserve"> </w:t>
      </w:r>
    </w:p>
    <w:p w:rsidR="008A3376" w:rsidRDefault="00A97FD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extent cx="6018276" cy="20701"/>
                <wp:effectExtent l="0" t="0" r="0" b="0"/>
                <wp:docPr id="16092" name="Group 16092"/>
                <wp:cNvGraphicFramePr/>
                <a:graphic xmlns:a="http://schemas.openxmlformats.org/drawingml/2006/main">
                  <a:graphicData uri="http://schemas.microsoft.com/office/word/2010/wordprocessingGroup">
                    <wpg:wgp>
                      <wpg:cNvGrpSpPr/>
                      <wpg:grpSpPr>
                        <a:xfrm>
                          <a:off x="0" y="0"/>
                          <a:ext cx="6018276" cy="20701"/>
                          <a:chOff x="0" y="0"/>
                          <a:chExt cx="6018276" cy="20701"/>
                        </a:xfrm>
                      </wpg:grpSpPr>
                      <wps:wsp>
                        <wps:cNvPr id="21294" name="Shape 21294"/>
                        <wps:cNvSpPr/>
                        <wps:spPr>
                          <a:xfrm>
                            <a:off x="0" y="0"/>
                            <a:ext cx="6016625" cy="19685"/>
                          </a:xfrm>
                          <a:custGeom>
                            <a:avLst/>
                            <a:gdLst/>
                            <a:ahLst/>
                            <a:cxnLst/>
                            <a:rect l="0" t="0" r="0" b="0"/>
                            <a:pathLst>
                              <a:path w="6016625" h="19685">
                                <a:moveTo>
                                  <a:pt x="0" y="0"/>
                                </a:moveTo>
                                <a:lnTo>
                                  <a:pt x="6016625" y="0"/>
                                </a:lnTo>
                                <a:lnTo>
                                  <a:pt x="60166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5" name="Shape 21295"/>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6" name="Shape 21296"/>
                        <wps:cNvSpPr/>
                        <wps:spPr>
                          <a:xfrm>
                            <a:off x="3353" y="889"/>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7" name="Shape 21297"/>
                        <wps:cNvSpPr/>
                        <wps:spPr>
                          <a:xfrm>
                            <a:off x="601522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8" name="Shape 21298"/>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9" name="Shape 21299"/>
                        <wps:cNvSpPr/>
                        <wps:spPr>
                          <a:xfrm>
                            <a:off x="601522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0" name="Shape 21300"/>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1" name="Shape 21301"/>
                        <wps:cNvSpPr/>
                        <wps:spPr>
                          <a:xfrm>
                            <a:off x="3353" y="17653"/>
                            <a:ext cx="6011926" cy="9144"/>
                          </a:xfrm>
                          <a:custGeom>
                            <a:avLst/>
                            <a:gdLst/>
                            <a:ahLst/>
                            <a:cxnLst/>
                            <a:rect l="0" t="0" r="0" b="0"/>
                            <a:pathLst>
                              <a:path w="6011926" h="9144">
                                <a:moveTo>
                                  <a:pt x="0" y="0"/>
                                </a:moveTo>
                                <a:lnTo>
                                  <a:pt x="6011926" y="0"/>
                                </a:lnTo>
                                <a:lnTo>
                                  <a:pt x="601192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2" name="Shape 21302"/>
                        <wps:cNvSpPr/>
                        <wps:spPr>
                          <a:xfrm>
                            <a:off x="601522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092" style="width:473.88pt;height:1.62997pt;mso-position-horizontal-relative:char;mso-position-vertical-relative:line" coordsize="60182,207">
                <v:shape id="Shape 21303" style="position:absolute;width:60166;height:196;left:0;top:0;" coordsize="6016625,19685" path="m0,0l6016625,0l6016625,19685l0,19685l0,0">
                  <v:stroke weight="0pt" endcap="flat" joinstyle="miter" miterlimit="10" on="false" color="#000000" opacity="0"/>
                  <v:fill on="true" color="#a0a0a0"/>
                </v:shape>
                <v:shape id="Shape 21304" style="position:absolute;width:91;height:91;left:3;top:8;" coordsize="9144,9144" path="m0,0l9144,0l9144,9144l0,9144l0,0">
                  <v:stroke weight="0pt" endcap="flat" joinstyle="miter" miterlimit="10" on="false" color="#000000" opacity="0"/>
                  <v:fill on="true" color="#a0a0a0"/>
                </v:shape>
                <v:shape id="Shape 21305" style="position:absolute;width:60119;height:91;left:33;top:8;" coordsize="6011926,9144" path="m0,0l6011926,0l6011926,9144l0,9144l0,0">
                  <v:stroke weight="0pt" endcap="flat" joinstyle="miter" miterlimit="10" on="false" color="#000000" opacity="0"/>
                  <v:fill on="true" color="#a0a0a0"/>
                </v:shape>
                <v:shape id="Shape 21306" style="position:absolute;width:91;height:91;left:60152;top:8;" coordsize="9144,9144" path="m0,0l9144,0l9144,9144l0,9144l0,0">
                  <v:stroke weight="0pt" endcap="flat" joinstyle="miter" miterlimit="10" on="false" color="#000000" opacity="0"/>
                  <v:fill on="true" color="#a0a0a0"/>
                </v:shape>
                <v:shape id="Shape 21307" style="position:absolute;width:91;height:137;left:3;top:39;" coordsize="9144,13716" path="m0,0l9144,0l9144,13716l0,13716l0,0">
                  <v:stroke weight="0pt" endcap="flat" joinstyle="miter" miterlimit="10" on="false" color="#000000" opacity="0"/>
                  <v:fill on="true" color="#a0a0a0"/>
                </v:shape>
                <v:shape id="Shape 21308" style="position:absolute;width:91;height:137;left:60152;top:39;" coordsize="9144,13716" path="m0,0l9144,0l9144,13716l0,13716l0,0">
                  <v:stroke weight="0pt" endcap="flat" joinstyle="miter" miterlimit="10" on="false" color="#000000" opacity="0"/>
                  <v:fill on="true" color="#e3e3e3"/>
                </v:shape>
                <v:shape id="Shape 21309" style="position:absolute;width:91;height:91;left:3;top:176;" coordsize="9144,9144" path="m0,0l9144,0l9144,9144l0,9144l0,0">
                  <v:stroke weight="0pt" endcap="flat" joinstyle="miter" miterlimit="10" on="false" color="#000000" opacity="0"/>
                  <v:fill on="true" color="#e3e3e3"/>
                </v:shape>
                <v:shape id="Shape 21310" style="position:absolute;width:60119;height:91;left:33;top:176;" coordsize="6011926,9144" path="m0,0l6011926,0l6011926,9144l0,9144l0,0">
                  <v:stroke weight="0pt" endcap="flat" joinstyle="miter" miterlimit="10" on="false" color="#000000" opacity="0"/>
                  <v:fill on="true" color="#e3e3e3"/>
                </v:shape>
                <v:shape id="Shape 21311" style="position:absolute;width:91;height:91;left:60152;top:176;" coordsize="9144,9144" path="m0,0l9144,0l9144,9144l0,9144l0,0">
                  <v:stroke weight="0pt" endcap="flat" joinstyle="miter" miterlimit="10" on="false" color="#000000" opacity="0"/>
                  <v:fill on="true" color="#e3e3e3"/>
                </v:shape>
              </v:group>
            </w:pict>
          </mc:Fallback>
        </mc:AlternateContent>
      </w:r>
      <w:r>
        <w:rPr>
          <w:b/>
        </w:rPr>
        <w:t xml:space="preserve"> </w:t>
      </w:r>
    </w:p>
    <w:p w:rsidR="008A3376" w:rsidRDefault="00A97FD3">
      <w:pPr>
        <w:spacing w:after="19" w:line="259" w:lineRule="auto"/>
        <w:ind w:left="0" w:right="0" w:firstLine="0"/>
        <w:jc w:val="left"/>
      </w:pPr>
      <w:r>
        <w:rPr>
          <w:b/>
        </w:rPr>
        <w:t xml:space="preserve"> </w:t>
      </w:r>
    </w:p>
    <w:p w:rsidR="008A3376" w:rsidRDefault="00A97FD3">
      <w:pPr>
        <w:spacing w:after="21" w:line="259" w:lineRule="auto"/>
        <w:ind w:left="0" w:right="0" w:firstLine="0"/>
        <w:jc w:val="left"/>
      </w:pPr>
      <w:r>
        <w:rPr>
          <w:b/>
          <w:i/>
        </w:rPr>
        <w:t xml:space="preserve"> </w:t>
      </w:r>
    </w:p>
    <w:p w:rsidR="008A3376" w:rsidRDefault="00A97FD3">
      <w:pPr>
        <w:spacing w:after="19" w:line="259" w:lineRule="auto"/>
        <w:ind w:left="-5" w:right="4457"/>
        <w:jc w:val="left"/>
      </w:pPr>
      <w:r>
        <w:rPr>
          <w:b/>
          <w:i/>
        </w:rPr>
        <w:t xml:space="preserve">Code of Conduct: </w:t>
      </w:r>
    </w:p>
    <w:p w:rsidR="008A3376" w:rsidRDefault="00A97FD3">
      <w:pPr>
        <w:spacing w:after="19" w:line="259" w:lineRule="auto"/>
        <w:ind w:left="0" w:right="0" w:firstLine="0"/>
        <w:jc w:val="left"/>
      </w:pPr>
      <w:r>
        <w:rPr>
          <w:i/>
        </w:rPr>
        <w:t xml:space="preserve"> </w:t>
      </w:r>
    </w:p>
    <w:p w:rsidR="008A3376" w:rsidRDefault="00A97FD3">
      <w:pPr>
        <w:spacing w:after="9" w:line="267" w:lineRule="auto"/>
        <w:ind w:left="-5" w:right="0"/>
        <w:jc w:val="left"/>
      </w:pPr>
      <w:r>
        <w:rPr>
          <w:i/>
        </w:rPr>
        <w:t>I   MOHAMED IRFAN (192521473</w:t>
      </w:r>
      <w:r>
        <w:rPr>
          <w:i/>
        </w:rPr>
        <w:t xml:space="preserve">)   (Name / </w:t>
      </w:r>
      <w:proofErr w:type="spellStart"/>
      <w:r>
        <w:rPr>
          <w:i/>
        </w:rPr>
        <w:t>Reg</w:t>
      </w:r>
      <w:proofErr w:type="spellEnd"/>
      <w:r>
        <w:rPr>
          <w:i/>
        </w:rPr>
        <w:t xml:space="preserve"> No) certify that this submission is my original work and that I have adhered to the guidelines specified for this assessment. </w:t>
      </w:r>
    </w:p>
    <w:p w:rsidR="008A3376" w:rsidRDefault="00A97FD3">
      <w:pPr>
        <w:spacing w:after="9" w:line="267" w:lineRule="auto"/>
        <w:ind w:left="-5" w:right="0"/>
        <w:jc w:val="left"/>
      </w:pPr>
      <w:r>
        <w:rPr>
          <w:i/>
        </w:rPr>
        <w:t xml:space="preserve">I understand that any violation of academic integrity rules will result in disciplinary action. </w:t>
      </w:r>
    </w:p>
    <w:p w:rsidR="008A3376" w:rsidRDefault="00A97FD3">
      <w:pPr>
        <w:spacing w:after="19" w:line="259" w:lineRule="auto"/>
        <w:ind w:left="0" w:right="0" w:firstLine="0"/>
        <w:jc w:val="left"/>
      </w:pPr>
      <w:r>
        <w:rPr>
          <w:i/>
        </w:rPr>
        <w:t xml:space="preserve"> </w:t>
      </w:r>
    </w:p>
    <w:p w:rsidR="008A3376" w:rsidRDefault="00A97FD3">
      <w:pPr>
        <w:spacing w:after="19" w:line="259" w:lineRule="auto"/>
        <w:ind w:left="0" w:right="0" w:firstLine="0"/>
        <w:jc w:val="left"/>
      </w:pPr>
      <w:r>
        <w:rPr>
          <w:i/>
        </w:rPr>
        <w:t xml:space="preserve"> </w:t>
      </w:r>
    </w:p>
    <w:p w:rsidR="008A3376" w:rsidRDefault="00A97FD3">
      <w:pPr>
        <w:spacing w:after="21" w:line="259" w:lineRule="auto"/>
        <w:ind w:left="0" w:right="4457" w:firstLine="0"/>
        <w:jc w:val="left"/>
      </w:pPr>
      <w:r>
        <w:rPr>
          <w:i/>
        </w:rPr>
        <w:t xml:space="preserve"> </w:t>
      </w:r>
    </w:p>
    <w:p w:rsidR="008A3376" w:rsidRDefault="00A97FD3">
      <w:pPr>
        <w:spacing w:after="19" w:line="259" w:lineRule="auto"/>
        <w:ind w:left="-5" w:right="4457"/>
        <w:jc w:val="left"/>
      </w:pPr>
      <w:r>
        <w:rPr>
          <w:b/>
          <w:i/>
        </w:rPr>
        <w:t>Signature of the student: N.MOHAMED IRFAN</w:t>
      </w:r>
      <w:bookmarkStart w:id="0" w:name="_GoBack"/>
      <w:bookmarkEnd w:id="0"/>
    </w:p>
    <w:p w:rsidR="008A3376" w:rsidRDefault="00A97FD3">
      <w:pPr>
        <w:spacing w:after="19" w:line="259" w:lineRule="auto"/>
        <w:ind w:left="0" w:right="4457" w:firstLine="0"/>
        <w:jc w:val="left"/>
      </w:pPr>
      <w:r>
        <w:t xml:space="preserve"> </w:t>
      </w:r>
    </w:p>
    <w:p w:rsidR="008A3376" w:rsidRDefault="00A97FD3">
      <w:pPr>
        <w:spacing w:after="19" w:line="259" w:lineRule="auto"/>
        <w:ind w:left="0" w:right="4457" w:firstLine="0"/>
        <w:jc w:val="left"/>
      </w:pPr>
      <w:r>
        <w:rPr>
          <w:i/>
        </w:rPr>
        <w:t xml:space="preserve"> </w:t>
      </w:r>
    </w:p>
    <w:p w:rsidR="008A3376" w:rsidRDefault="00A97FD3">
      <w:pPr>
        <w:spacing w:after="19" w:line="259" w:lineRule="auto"/>
        <w:ind w:left="0" w:right="0" w:firstLine="0"/>
        <w:jc w:val="left"/>
      </w:pPr>
      <w:r>
        <w:rPr>
          <w:i/>
        </w:rPr>
        <w:t xml:space="preserve"> </w:t>
      </w:r>
    </w:p>
    <w:p w:rsidR="008A3376" w:rsidRDefault="00A97FD3">
      <w:pPr>
        <w:spacing w:after="21" w:line="259" w:lineRule="auto"/>
        <w:ind w:left="0" w:right="0" w:firstLine="0"/>
        <w:jc w:val="left"/>
      </w:pPr>
      <w:r>
        <w:rPr>
          <w:i/>
        </w:rPr>
        <w:t xml:space="preserve"> </w:t>
      </w:r>
    </w:p>
    <w:p w:rsidR="008A3376" w:rsidRDefault="00A97FD3">
      <w:pPr>
        <w:spacing w:after="19" w:line="259" w:lineRule="auto"/>
        <w:ind w:left="0" w:right="0" w:firstLine="0"/>
        <w:jc w:val="left"/>
      </w:pPr>
      <w:r>
        <w:rPr>
          <w:i/>
        </w:rPr>
        <w:t xml:space="preserve"> </w:t>
      </w:r>
    </w:p>
    <w:p w:rsidR="008A3376" w:rsidRDefault="00A97FD3">
      <w:pPr>
        <w:spacing w:after="19" w:line="259" w:lineRule="auto"/>
        <w:ind w:left="0" w:right="0" w:firstLine="0"/>
        <w:jc w:val="left"/>
      </w:pPr>
      <w:r>
        <w:rPr>
          <w:i/>
        </w:rPr>
        <w:t xml:space="preserve"> </w:t>
      </w:r>
    </w:p>
    <w:p w:rsidR="008A3376" w:rsidRDefault="00A97FD3">
      <w:pPr>
        <w:spacing w:after="0" w:line="259" w:lineRule="auto"/>
        <w:ind w:left="0" w:right="0" w:firstLine="0"/>
        <w:jc w:val="left"/>
      </w:pPr>
      <w:r>
        <w:rPr>
          <w:i/>
        </w:rPr>
        <w:lastRenderedPageBreak/>
        <w:t xml:space="preserve"> </w:t>
      </w:r>
    </w:p>
    <w:p w:rsidR="008A3376" w:rsidRDefault="00A97FD3">
      <w:pPr>
        <w:spacing w:after="19" w:line="259" w:lineRule="auto"/>
        <w:ind w:left="0" w:right="0" w:firstLine="0"/>
        <w:jc w:val="left"/>
      </w:pPr>
      <w:r>
        <w:rPr>
          <w:i/>
        </w:rPr>
        <w:t xml:space="preserve"> </w:t>
      </w:r>
    </w:p>
    <w:p w:rsidR="008A3376" w:rsidRDefault="00A97FD3">
      <w:pPr>
        <w:spacing w:after="20" w:line="259" w:lineRule="auto"/>
        <w:ind w:left="10" w:right="68"/>
        <w:jc w:val="center"/>
      </w:pPr>
      <w:r>
        <w:rPr>
          <w:b/>
          <w:i/>
        </w:rPr>
        <w:t xml:space="preserve">Annexure A </w:t>
      </w:r>
    </w:p>
    <w:p w:rsidR="008A3376" w:rsidRDefault="00A97FD3">
      <w:pPr>
        <w:spacing w:after="20" w:line="259" w:lineRule="auto"/>
        <w:ind w:left="10" w:right="72"/>
        <w:jc w:val="center"/>
      </w:pPr>
      <w:r>
        <w:rPr>
          <w:b/>
          <w:i/>
        </w:rPr>
        <w:t>Comparative Analysis</w:t>
      </w:r>
      <w:r>
        <w:rPr>
          <w:i/>
        </w:rPr>
        <w:t xml:space="preserve"> </w:t>
      </w:r>
    </w:p>
    <w:p w:rsidR="008A3376" w:rsidRDefault="00A97FD3">
      <w:pPr>
        <w:spacing w:after="19" w:line="259" w:lineRule="auto"/>
        <w:ind w:left="0" w:right="0" w:firstLine="0"/>
        <w:jc w:val="left"/>
      </w:pPr>
      <w:r>
        <w:rPr>
          <w:i/>
        </w:rPr>
        <w:t xml:space="preserve"> </w:t>
      </w:r>
    </w:p>
    <w:p w:rsidR="008A3376" w:rsidRDefault="00A97FD3">
      <w:pPr>
        <w:numPr>
          <w:ilvl w:val="0"/>
          <w:numId w:val="1"/>
        </w:numPr>
        <w:spacing w:after="0"/>
        <w:ind w:right="58" w:hanging="360"/>
      </w:pPr>
      <w:r>
        <w:t xml:space="preserve">Apply </w:t>
      </w:r>
      <w:r>
        <w:rPr>
          <w:b/>
        </w:rPr>
        <w:t>SSL/TLS and IPsec protocols</w:t>
      </w:r>
      <w:r>
        <w:t xml:space="preserve"> </w:t>
      </w:r>
      <w:r>
        <w:t xml:space="preserve">to a secure communication scenario and determine which provides better security for web-based and network-layer protection.  </w:t>
      </w:r>
    </w:p>
    <w:p w:rsidR="008A3376" w:rsidRDefault="00A97FD3">
      <w:pPr>
        <w:numPr>
          <w:ilvl w:val="0"/>
          <w:numId w:val="1"/>
        </w:numPr>
        <w:spacing w:after="0" w:line="268" w:lineRule="auto"/>
        <w:ind w:right="58" w:hanging="360"/>
      </w:pPr>
      <w:r>
        <w:t xml:space="preserve">Design a secure email system by comparing </w:t>
      </w:r>
      <w:r>
        <w:rPr>
          <w:b/>
        </w:rPr>
        <w:t xml:space="preserve">end-to-end encryption and </w:t>
      </w:r>
      <w:proofErr w:type="spellStart"/>
      <w:r>
        <w:rPr>
          <w:b/>
        </w:rPr>
        <w:t>gatewaybased</w:t>
      </w:r>
      <w:proofErr w:type="spellEnd"/>
      <w:r>
        <w:rPr>
          <w:b/>
        </w:rPr>
        <w:t xml:space="preserve"> encryption</w:t>
      </w:r>
      <w:r>
        <w:t>, and justify the most suitable approac</w:t>
      </w:r>
      <w:r>
        <w:t xml:space="preserve">h for enterprise use.  </w:t>
      </w:r>
    </w:p>
    <w:p w:rsidR="008A3376" w:rsidRDefault="00A97FD3">
      <w:pPr>
        <w:numPr>
          <w:ilvl w:val="0"/>
          <w:numId w:val="1"/>
        </w:numPr>
        <w:spacing w:after="0" w:line="268" w:lineRule="auto"/>
        <w:ind w:right="58" w:hanging="360"/>
      </w:pPr>
      <w:r>
        <w:t xml:space="preserve">Apply </w:t>
      </w:r>
      <w:r>
        <w:rPr>
          <w:b/>
        </w:rPr>
        <w:t>HMAC and Digital Signature techniques</w:t>
      </w:r>
      <w:r>
        <w:t xml:space="preserve"> to a data transmission scenario and </w:t>
      </w:r>
      <w:proofErr w:type="spellStart"/>
      <w:r>
        <w:t>analyze</w:t>
      </w:r>
      <w:proofErr w:type="spellEnd"/>
      <w:r>
        <w:t xml:space="preserve"> which method provides better authentication and integrity.  </w:t>
      </w:r>
    </w:p>
    <w:p w:rsidR="008A3376" w:rsidRDefault="00A97FD3">
      <w:pPr>
        <w:numPr>
          <w:ilvl w:val="0"/>
          <w:numId w:val="1"/>
        </w:numPr>
        <w:spacing w:after="0"/>
        <w:ind w:right="58" w:hanging="360"/>
      </w:pPr>
      <w:r>
        <w:t xml:space="preserve">Create a </w:t>
      </w:r>
      <w:r>
        <w:rPr>
          <w:b/>
        </w:rPr>
        <w:t>spam detection system</w:t>
      </w:r>
      <w:r>
        <w:t xml:space="preserve"> by comparing supervised learning and unsupervised le</w:t>
      </w:r>
      <w:r>
        <w:t xml:space="preserve">arning approaches, and evaluate their effectiveness in real-world email filtering.  </w:t>
      </w:r>
    </w:p>
    <w:p w:rsidR="008A3376" w:rsidRDefault="00A97FD3">
      <w:pPr>
        <w:numPr>
          <w:ilvl w:val="0"/>
          <w:numId w:val="1"/>
        </w:numPr>
        <w:ind w:right="58" w:hanging="360"/>
      </w:pPr>
      <w:r>
        <w:t xml:space="preserve">Design a secure communication framework by comparing </w:t>
      </w:r>
      <w:r>
        <w:rPr>
          <w:b/>
        </w:rPr>
        <w:t>AES and RSA encryption techniques</w:t>
      </w:r>
      <w:r>
        <w:t>, and determine their roles in achieving confidentiality and efficiency.</w:t>
      </w:r>
      <w:r>
        <w:rPr>
          <w:i/>
        </w:rPr>
        <w:t xml:space="preserve"> </w:t>
      </w:r>
    </w:p>
    <w:p w:rsidR="008A3376" w:rsidRDefault="00A97FD3">
      <w:pPr>
        <w:pStyle w:val="Heading1"/>
        <w:ind w:left="-5"/>
      </w:pPr>
      <w:r>
        <w:t xml:space="preserve">Answers to </w:t>
      </w:r>
      <w:r>
        <w:t>Comparative Analysis Questions</w:t>
      </w:r>
      <w:r>
        <w:rPr>
          <w:b w:val="0"/>
          <w:color w:val="000000"/>
          <w:sz w:val="22"/>
        </w:rPr>
        <w:t xml:space="preserve"> </w:t>
      </w:r>
    </w:p>
    <w:p w:rsidR="008A3376" w:rsidRDefault="00A97FD3">
      <w:pPr>
        <w:spacing w:after="173" w:line="259" w:lineRule="auto"/>
        <w:ind w:left="-29" w:right="0" w:firstLine="0"/>
        <w:jc w:val="left"/>
      </w:pPr>
      <w:r>
        <w:rPr>
          <w:rFonts w:ascii="Calibri" w:eastAsia="Calibri" w:hAnsi="Calibri" w:cs="Calibri"/>
          <w:noProof/>
          <w:sz w:val="22"/>
        </w:rPr>
        <mc:AlternateContent>
          <mc:Choice Requires="wpg">
            <w:drawing>
              <wp:inline distT="0" distB="0" distL="0" distR="0">
                <wp:extent cx="6054598" cy="12192"/>
                <wp:effectExtent l="0" t="0" r="0" b="0"/>
                <wp:docPr id="17884" name="Group 17884"/>
                <wp:cNvGraphicFramePr/>
                <a:graphic xmlns:a="http://schemas.openxmlformats.org/drawingml/2006/main">
                  <a:graphicData uri="http://schemas.microsoft.com/office/word/2010/wordprocessingGroup">
                    <wpg:wgp>
                      <wpg:cNvGrpSpPr/>
                      <wpg:grpSpPr>
                        <a:xfrm>
                          <a:off x="0" y="0"/>
                          <a:ext cx="6054598" cy="12192"/>
                          <a:chOff x="0" y="0"/>
                          <a:chExt cx="6054598" cy="12192"/>
                        </a:xfrm>
                      </wpg:grpSpPr>
                      <wps:wsp>
                        <wps:cNvPr id="21312" name="Shape 21312"/>
                        <wps:cNvSpPr/>
                        <wps:spPr>
                          <a:xfrm>
                            <a:off x="0" y="0"/>
                            <a:ext cx="6054598" cy="12192"/>
                          </a:xfrm>
                          <a:custGeom>
                            <a:avLst/>
                            <a:gdLst/>
                            <a:ahLst/>
                            <a:cxnLst/>
                            <a:rect l="0" t="0" r="0" b="0"/>
                            <a:pathLst>
                              <a:path w="6054598" h="12192">
                                <a:moveTo>
                                  <a:pt x="0" y="0"/>
                                </a:moveTo>
                                <a:lnTo>
                                  <a:pt x="6054598" y="0"/>
                                </a:lnTo>
                                <a:lnTo>
                                  <a:pt x="6054598" y="12192"/>
                                </a:lnTo>
                                <a:lnTo>
                                  <a:pt x="0" y="12192"/>
                                </a:lnTo>
                                <a:lnTo>
                                  <a:pt x="0" y="0"/>
                                </a:lnTo>
                              </a:path>
                            </a:pathLst>
                          </a:custGeom>
                          <a:ln w="0" cap="flat">
                            <a:miter lim="127000"/>
                          </a:ln>
                        </wps:spPr>
                        <wps:style>
                          <a:lnRef idx="0">
                            <a:srgbClr val="000000">
                              <a:alpha val="0"/>
                            </a:srgbClr>
                          </a:lnRef>
                          <a:fillRef idx="1">
                            <a:srgbClr val="1F3B57"/>
                          </a:fillRef>
                          <a:effectRef idx="0">
                            <a:scrgbClr r="0" g="0" b="0"/>
                          </a:effectRef>
                          <a:fontRef idx="none"/>
                        </wps:style>
                        <wps:bodyPr/>
                      </wps:wsp>
                    </wpg:wgp>
                  </a:graphicData>
                </a:graphic>
              </wp:inline>
            </w:drawing>
          </mc:Choice>
          <mc:Fallback xmlns:a="http://schemas.openxmlformats.org/drawingml/2006/main">
            <w:pict>
              <v:group id="Group 17884" style="width:476.74pt;height:0.959991pt;mso-position-horizontal-relative:char;mso-position-vertical-relative:line" coordsize="60545,121">
                <v:shape id="Shape 21313" style="position:absolute;width:60545;height:121;left:0;top:0;" coordsize="6054598,12192" path="m0,0l6054598,0l6054598,12192l0,12192l0,0">
                  <v:stroke weight="0pt" endcap="flat" joinstyle="miter" miterlimit="10" on="false" color="#000000" opacity="0"/>
                  <v:fill on="true" color="#1f3b57"/>
                </v:shape>
              </v:group>
            </w:pict>
          </mc:Fallback>
        </mc:AlternateContent>
      </w:r>
    </w:p>
    <w:p w:rsidR="008A3376" w:rsidRDefault="00A97FD3">
      <w:pPr>
        <w:ind w:left="-5" w:right="58"/>
      </w:pPr>
      <w:r>
        <w:t>Each question below is addressed through a defined real-world scenario, followed by a structured, multi-</w:t>
      </w:r>
      <w:r>
        <w:t>parameter comparison, a set of key observations drawn from that comparison, and a critical justification that recommends a course of action. Wherever applicable, the discussion is grounded in the relevant IETF/NIST standards that govern the mechanisms unde</w:t>
      </w:r>
      <w:r>
        <w:t>r review.</w:t>
      </w:r>
      <w:r>
        <w:rPr>
          <w:sz w:val="22"/>
        </w:rPr>
        <w:t xml:space="preserve"> </w:t>
      </w:r>
    </w:p>
    <w:p w:rsidR="008A3376" w:rsidRDefault="00A97FD3">
      <w:pPr>
        <w:pStyle w:val="Heading1"/>
        <w:ind w:left="-5"/>
      </w:pPr>
      <w:r>
        <w:t xml:space="preserve">Question 1 </w:t>
      </w:r>
      <w:r>
        <w:t>—</w:t>
      </w:r>
      <w:r>
        <w:t xml:space="preserve"> SSL/TLS vs IPsec for Secure Communication</w:t>
      </w:r>
      <w:r>
        <w:rPr>
          <w:b w:val="0"/>
          <w:color w:val="000000"/>
          <w:sz w:val="22"/>
        </w:rPr>
        <w:t xml:space="preserve"> </w:t>
      </w:r>
    </w:p>
    <w:p w:rsidR="008A3376" w:rsidRDefault="00A97FD3">
      <w:pPr>
        <w:spacing w:after="215" w:line="259" w:lineRule="auto"/>
        <w:ind w:left="-29" w:right="0" w:firstLine="0"/>
        <w:jc w:val="left"/>
      </w:pPr>
      <w:r>
        <w:rPr>
          <w:rFonts w:ascii="Calibri" w:eastAsia="Calibri" w:hAnsi="Calibri" w:cs="Calibri"/>
          <w:noProof/>
          <w:sz w:val="22"/>
        </w:rPr>
        <mc:AlternateContent>
          <mc:Choice Requires="wpg">
            <w:drawing>
              <wp:inline distT="0" distB="0" distL="0" distR="0">
                <wp:extent cx="6054598" cy="12192"/>
                <wp:effectExtent l="0" t="0" r="0" b="0"/>
                <wp:docPr id="17885" name="Group 17885"/>
                <wp:cNvGraphicFramePr/>
                <a:graphic xmlns:a="http://schemas.openxmlformats.org/drawingml/2006/main">
                  <a:graphicData uri="http://schemas.microsoft.com/office/word/2010/wordprocessingGroup">
                    <wpg:wgp>
                      <wpg:cNvGrpSpPr/>
                      <wpg:grpSpPr>
                        <a:xfrm>
                          <a:off x="0" y="0"/>
                          <a:ext cx="6054598" cy="12192"/>
                          <a:chOff x="0" y="0"/>
                          <a:chExt cx="6054598" cy="12192"/>
                        </a:xfrm>
                      </wpg:grpSpPr>
                      <wps:wsp>
                        <wps:cNvPr id="21314" name="Shape 21314"/>
                        <wps:cNvSpPr/>
                        <wps:spPr>
                          <a:xfrm>
                            <a:off x="0" y="0"/>
                            <a:ext cx="6054598" cy="12192"/>
                          </a:xfrm>
                          <a:custGeom>
                            <a:avLst/>
                            <a:gdLst/>
                            <a:ahLst/>
                            <a:cxnLst/>
                            <a:rect l="0" t="0" r="0" b="0"/>
                            <a:pathLst>
                              <a:path w="6054598" h="12192">
                                <a:moveTo>
                                  <a:pt x="0" y="0"/>
                                </a:moveTo>
                                <a:lnTo>
                                  <a:pt x="6054598" y="0"/>
                                </a:lnTo>
                                <a:lnTo>
                                  <a:pt x="6054598" y="12192"/>
                                </a:lnTo>
                                <a:lnTo>
                                  <a:pt x="0" y="12192"/>
                                </a:lnTo>
                                <a:lnTo>
                                  <a:pt x="0" y="0"/>
                                </a:lnTo>
                              </a:path>
                            </a:pathLst>
                          </a:custGeom>
                          <a:ln w="0" cap="flat">
                            <a:miter lim="127000"/>
                          </a:ln>
                        </wps:spPr>
                        <wps:style>
                          <a:lnRef idx="0">
                            <a:srgbClr val="000000">
                              <a:alpha val="0"/>
                            </a:srgbClr>
                          </a:lnRef>
                          <a:fillRef idx="1">
                            <a:srgbClr val="1F3B57"/>
                          </a:fillRef>
                          <a:effectRef idx="0">
                            <a:scrgbClr r="0" g="0" b="0"/>
                          </a:effectRef>
                          <a:fontRef idx="none"/>
                        </wps:style>
                        <wps:bodyPr/>
                      </wps:wsp>
                    </wpg:wgp>
                  </a:graphicData>
                </a:graphic>
              </wp:inline>
            </w:drawing>
          </mc:Choice>
          <mc:Fallback xmlns:a="http://schemas.openxmlformats.org/drawingml/2006/main">
            <w:pict>
              <v:group id="Group 17885" style="width:476.74pt;height:0.959991pt;mso-position-horizontal-relative:char;mso-position-vertical-relative:line" coordsize="60545,121">
                <v:shape id="Shape 21315" style="position:absolute;width:60545;height:121;left:0;top:0;" coordsize="6054598,12192" path="m0,0l6054598,0l6054598,12192l0,12192l0,0">
                  <v:stroke weight="0pt" endcap="flat" joinstyle="miter" miterlimit="10" on="false" color="#000000" opacity="0"/>
                  <v:fill on="true" color="#1f3b57"/>
                </v:shape>
              </v:group>
            </w:pict>
          </mc:Fallback>
        </mc:AlternateContent>
      </w:r>
    </w:p>
    <w:p w:rsidR="008A3376" w:rsidRDefault="00A97FD3">
      <w:pPr>
        <w:pStyle w:val="Heading2"/>
        <w:ind w:left="-5"/>
      </w:pPr>
      <w:r>
        <w:t>Scenario</w:t>
      </w:r>
      <w:r>
        <w:rPr>
          <w:b w:val="0"/>
          <w:sz w:val="22"/>
        </w:rPr>
        <w:t xml:space="preserve"> </w:t>
      </w:r>
    </w:p>
    <w:p w:rsidR="008A3376" w:rsidRDefault="00A97FD3">
      <w:pPr>
        <w:spacing w:after="144"/>
        <w:ind w:left="-5" w:right="58"/>
      </w:pPr>
      <w:r>
        <w:t>A regional bank operates a customer-</w:t>
      </w:r>
      <w:r>
        <w:t xml:space="preserve">facing internet banking portal that must be reached securely by browsers over the public internet, and it also maintains a private WAN link between its head office and five branch offices that must carry all traffic </w:t>
      </w:r>
      <w:r>
        <w:t>—</w:t>
      </w:r>
      <w:r>
        <w:t xml:space="preserve"> banking application data, VoIP, and fi</w:t>
      </w:r>
      <w:r>
        <w:t xml:space="preserve">le transfers </w:t>
      </w:r>
      <w:r>
        <w:t>—</w:t>
      </w:r>
      <w:r>
        <w:t xml:space="preserve"> without modifying every individual application. The security team must decide where SSL/TLS should be applied and where IPsec is the more appropriate control.</w:t>
      </w:r>
      <w:r>
        <w:rPr>
          <w:sz w:val="22"/>
        </w:rPr>
        <w:t xml:space="preserve"> </w:t>
      </w:r>
    </w:p>
    <w:p w:rsidR="008A3376" w:rsidRDefault="00A97FD3">
      <w:pPr>
        <w:pStyle w:val="Heading3"/>
        <w:ind w:left="-5"/>
      </w:pPr>
      <w:r>
        <w:t xml:space="preserve">Table 1.1 </w:t>
      </w:r>
      <w:r>
        <w:t>—</w:t>
      </w:r>
      <w:r>
        <w:t xml:space="preserve"> SSL/TLS and IPsec compared across implementation and security paramet</w:t>
      </w:r>
      <w:r>
        <w:t>ers</w:t>
      </w:r>
      <w:r>
        <w:rPr>
          <w:b w:val="0"/>
          <w:i w:val="0"/>
        </w:rPr>
        <w:t xml:space="preserve"> </w:t>
      </w:r>
    </w:p>
    <w:tbl>
      <w:tblPr>
        <w:tblStyle w:val="TableGrid"/>
        <w:tblW w:w="8503" w:type="dxa"/>
        <w:tblInd w:w="486" w:type="dxa"/>
        <w:tblCellMar>
          <w:top w:w="48" w:type="dxa"/>
          <w:left w:w="107" w:type="dxa"/>
          <w:bottom w:w="0" w:type="dxa"/>
          <w:right w:w="63" w:type="dxa"/>
        </w:tblCellMar>
        <w:tblLook w:val="04A0" w:firstRow="1" w:lastRow="0" w:firstColumn="1" w:lastColumn="0" w:noHBand="0" w:noVBand="1"/>
      </w:tblPr>
      <w:tblGrid>
        <w:gridCol w:w="2041"/>
        <w:gridCol w:w="3176"/>
        <w:gridCol w:w="3286"/>
      </w:tblGrid>
      <w:tr w:rsidR="008A3376">
        <w:trPr>
          <w:trHeight w:val="298"/>
        </w:trPr>
        <w:tc>
          <w:tcPr>
            <w:tcW w:w="2042"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46" w:firstLine="0"/>
              <w:jc w:val="center"/>
            </w:pPr>
            <w:r>
              <w:rPr>
                <w:b/>
                <w:color w:val="FFFFFF"/>
                <w:sz w:val="22"/>
              </w:rPr>
              <w:t>Parameter</w:t>
            </w:r>
            <w:r>
              <w:rPr>
                <w:color w:val="FFFFFF"/>
                <w:sz w:val="22"/>
              </w:rPr>
              <w:t xml:space="preserve"> </w:t>
            </w:r>
          </w:p>
        </w:tc>
        <w:tc>
          <w:tcPr>
            <w:tcW w:w="3176"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40" w:firstLine="0"/>
              <w:jc w:val="center"/>
            </w:pPr>
            <w:r>
              <w:rPr>
                <w:b/>
                <w:color w:val="FFFFFF"/>
                <w:sz w:val="22"/>
              </w:rPr>
              <w:t>SSL/TLS</w:t>
            </w:r>
            <w:r>
              <w:rPr>
                <w:color w:val="FFFFFF"/>
                <w:sz w:val="22"/>
              </w:rPr>
              <w:t xml:space="preserve"> </w:t>
            </w:r>
          </w:p>
        </w:tc>
        <w:tc>
          <w:tcPr>
            <w:tcW w:w="3286"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40" w:firstLine="0"/>
              <w:jc w:val="center"/>
            </w:pPr>
            <w:r>
              <w:rPr>
                <w:b/>
                <w:color w:val="FFFFFF"/>
                <w:sz w:val="22"/>
              </w:rPr>
              <w:t>IPsec</w:t>
            </w:r>
            <w:r>
              <w:rPr>
                <w:color w:val="FFFFFF"/>
                <w:sz w:val="22"/>
              </w:rPr>
              <w:t xml:space="preserve"> </w:t>
            </w:r>
          </w:p>
        </w:tc>
      </w:tr>
      <w:tr w:rsidR="008A3376">
        <w:trPr>
          <w:trHeight w:val="884"/>
        </w:trPr>
        <w:tc>
          <w:tcPr>
            <w:tcW w:w="2042"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OSI layer of operation</w:t>
            </w:r>
            <w:r>
              <w:rPr>
                <w:sz w:val="22"/>
              </w:rPr>
              <w:t xml:space="preserve"> </w:t>
            </w:r>
          </w:p>
        </w:tc>
        <w:tc>
          <w:tcPr>
            <w:tcW w:w="3176" w:type="dxa"/>
            <w:tcBorders>
              <w:top w:val="single" w:sz="4" w:space="0" w:color="A6A6A6"/>
              <w:left w:val="single" w:sz="4" w:space="0" w:color="A6A6A6"/>
              <w:bottom w:val="single" w:sz="4" w:space="0" w:color="A6A6A6"/>
              <w:right w:val="single" w:sz="4" w:space="0" w:color="A6A6A6"/>
            </w:tcBorders>
          </w:tcPr>
          <w:p w:rsidR="008A3376" w:rsidRDefault="00A97FD3">
            <w:pPr>
              <w:spacing w:after="7" w:line="275" w:lineRule="auto"/>
              <w:ind w:left="1" w:right="0" w:firstLine="0"/>
              <w:jc w:val="left"/>
            </w:pPr>
            <w:r>
              <w:rPr>
                <w:sz w:val="21"/>
              </w:rPr>
              <w:t xml:space="preserve">Transport / Session layer (between TCP and the </w:t>
            </w:r>
          </w:p>
          <w:p w:rsidR="008A3376" w:rsidRDefault="00A97FD3">
            <w:pPr>
              <w:spacing w:after="0" w:line="259" w:lineRule="auto"/>
              <w:ind w:left="1" w:right="0" w:firstLine="0"/>
              <w:jc w:val="left"/>
            </w:pPr>
            <w:r>
              <w:rPr>
                <w:sz w:val="21"/>
              </w:rPr>
              <w:t>application)</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Network layer (operates directly on IP packets)</w:t>
            </w:r>
            <w:r>
              <w:rPr>
                <w:sz w:val="22"/>
              </w:rPr>
              <w:t xml:space="preserve"> </w:t>
            </w:r>
          </w:p>
        </w:tc>
      </w:tr>
      <w:tr w:rsidR="008A3376">
        <w:trPr>
          <w:trHeight w:val="884"/>
        </w:trPr>
        <w:tc>
          <w:tcPr>
            <w:tcW w:w="2042"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lastRenderedPageBreak/>
              <w:t>Scope of protection</w:t>
            </w:r>
            <w:r>
              <w:rPr>
                <w:sz w:val="22"/>
              </w:rPr>
              <w:t xml:space="preserve"> </w:t>
            </w:r>
          </w:p>
        </w:tc>
        <w:tc>
          <w:tcPr>
            <w:tcW w:w="317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Secures a single application session, e.g. one HTTPS connection</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Secures every packet between two hosts or gateways, application-agnostic</w:t>
            </w:r>
            <w:r>
              <w:rPr>
                <w:sz w:val="22"/>
              </w:rPr>
              <w:t xml:space="preserve"> </w:t>
            </w:r>
          </w:p>
        </w:tc>
      </w:tr>
      <w:tr w:rsidR="008A3376">
        <w:trPr>
          <w:trHeight w:val="607"/>
        </w:trPr>
        <w:tc>
          <w:tcPr>
            <w:tcW w:w="2042"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Application awareness</w:t>
            </w:r>
            <w:r>
              <w:rPr>
                <w:sz w:val="22"/>
              </w:rPr>
              <w:t xml:space="preserve"> </w:t>
            </w:r>
          </w:p>
        </w:tc>
        <w:tc>
          <w:tcPr>
            <w:tcW w:w="3176" w:type="dxa"/>
            <w:tcBorders>
              <w:top w:val="single" w:sz="4" w:space="0" w:color="A6A6A6"/>
              <w:left w:val="single" w:sz="4" w:space="0" w:color="A6A6A6"/>
              <w:bottom w:val="single" w:sz="4" w:space="0" w:color="A6A6A6"/>
              <w:right w:val="single" w:sz="4" w:space="0" w:color="A6A6A6"/>
            </w:tcBorders>
          </w:tcPr>
          <w:p w:rsidR="008A3376" w:rsidRDefault="00A97FD3">
            <w:pPr>
              <w:spacing w:after="23" w:line="259" w:lineRule="auto"/>
              <w:ind w:left="1" w:right="0" w:firstLine="0"/>
              <w:jc w:val="left"/>
            </w:pPr>
            <w:r>
              <w:rPr>
                <w:sz w:val="21"/>
              </w:rPr>
              <w:t xml:space="preserve">Application must be TLS-aware </w:t>
            </w:r>
          </w:p>
          <w:p w:rsidR="008A3376" w:rsidRDefault="00A97FD3">
            <w:pPr>
              <w:spacing w:after="0" w:line="259" w:lineRule="auto"/>
              <w:ind w:left="1" w:right="0" w:firstLine="0"/>
              <w:jc w:val="left"/>
            </w:pPr>
            <w:r>
              <w:rPr>
                <w:sz w:val="21"/>
              </w:rPr>
              <w:t>(</w:t>
            </w:r>
            <w:proofErr w:type="gramStart"/>
            <w:r>
              <w:rPr>
                <w:sz w:val="21"/>
              </w:rPr>
              <w:t>browser</w:t>
            </w:r>
            <w:proofErr w:type="gramEnd"/>
            <w:r>
              <w:rPr>
                <w:sz w:val="21"/>
              </w:rPr>
              <w:t>, mail client, etc.)</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Fully transparent to applications; no code changes required</w:t>
            </w:r>
            <w:r>
              <w:rPr>
                <w:sz w:val="22"/>
              </w:rPr>
              <w:t xml:space="preserve"> </w:t>
            </w:r>
          </w:p>
        </w:tc>
      </w:tr>
      <w:tr w:rsidR="008A3376">
        <w:trPr>
          <w:trHeight w:val="884"/>
        </w:trPr>
        <w:tc>
          <w:tcPr>
            <w:tcW w:w="2042"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Authentication basis</w:t>
            </w:r>
            <w:r>
              <w:rPr>
                <w:sz w:val="22"/>
              </w:rPr>
              <w:t xml:space="preserve"> </w:t>
            </w:r>
          </w:p>
        </w:tc>
        <w:tc>
          <w:tcPr>
            <w:tcW w:w="3176" w:type="dxa"/>
            <w:tcBorders>
              <w:top w:val="single" w:sz="4" w:space="0" w:color="A6A6A6"/>
              <w:left w:val="single" w:sz="4" w:space="0" w:color="A6A6A6"/>
              <w:bottom w:val="single" w:sz="4" w:space="0" w:color="A6A6A6"/>
              <w:right w:val="single" w:sz="4" w:space="0" w:color="A6A6A6"/>
            </w:tcBorders>
          </w:tcPr>
          <w:p w:rsidR="008A3376" w:rsidRDefault="00A97FD3">
            <w:pPr>
              <w:spacing w:after="16" w:line="259" w:lineRule="auto"/>
              <w:ind w:left="0" w:right="0" w:firstLine="0"/>
              <w:jc w:val="left"/>
            </w:pPr>
            <w:r>
              <w:rPr>
                <w:sz w:val="21"/>
              </w:rPr>
              <w:t xml:space="preserve">X.509 server certificates </w:t>
            </w:r>
          </w:p>
          <w:p w:rsidR="008A3376" w:rsidRDefault="00A97FD3">
            <w:pPr>
              <w:spacing w:after="0" w:line="259" w:lineRule="auto"/>
              <w:ind w:left="0" w:right="0" w:firstLine="0"/>
              <w:jc w:val="left"/>
            </w:pPr>
            <w:r>
              <w:rPr>
                <w:sz w:val="21"/>
              </w:rPr>
              <w:t>(optionally mutual-TLS for clients)</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2" w:right="0" w:firstLine="0"/>
              <w:jc w:val="left"/>
            </w:pPr>
            <w:r>
              <w:rPr>
                <w:sz w:val="21"/>
              </w:rPr>
              <w:t>Pre-shared keys or certificates via IKE (Internet Key Exchange)</w:t>
            </w:r>
            <w:r>
              <w:rPr>
                <w:sz w:val="22"/>
              </w:rPr>
              <w:t xml:space="preserve"> </w:t>
            </w:r>
          </w:p>
        </w:tc>
      </w:tr>
      <w:tr w:rsidR="008A3376">
        <w:trPr>
          <w:trHeight w:val="883"/>
        </w:trPr>
        <w:tc>
          <w:tcPr>
            <w:tcW w:w="2042"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Typical deployment</w:t>
            </w:r>
            <w:r>
              <w:rPr>
                <w:sz w:val="22"/>
              </w:rPr>
              <w:t xml:space="preserve"> </w:t>
            </w:r>
          </w:p>
        </w:tc>
        <w:tc>
          <w:tcPr>
            <w:tcW w:w="3176" w:type="dxa"/>
            <w:tcBorders>
              <w:top w:val="single" w:sz="4" w:space="0" w:color="A6A6A6"/>
              <w:left w:val="single" w:sz="4" w:space="0" w:color="A6A6A6"/>
              <w:bottom w:val="single" w:sz="4" w:space="0" w:color="A6A6A6"/>
              <w:right w:val="single" w:sz="4" w:space="0" w:color="A6A6A6"/>
            </w:tcBorders>
          </w:tcPr>
          <w:p w:rsidR="008A3376" w:rsidRDefault="00A97FD3">
            <w:pPr>
              <w:spacing w:after="23" w:line="259" w:lineRule="auto"/>
              <w:ind w:left="0" w:right="0" w:firstLine="0"/>
              <w:jc w:val="left"/>
            </w:pPr>
            <w:r>
              <w:rPr>
                <w:sz w:val="21"/>
              </w:rPr>
              <w:t xml:space="preserve">Public web services, REST </w:t>
            </w:r>
          </w:p>
          <w:p w:rsidR="008A3376" w:rsidRDefault="00A97FD3">
            <w:pPr>
              <w:spacing w:after="0" w:line="259" w:lineRule="auto"/>
              <w:ind w:left="0" w:right="0" w:firstLine="0"/>
              <w:jc w:val="left"/>
            </w:pPr>
            <w:r>
              <w:rPr>
                <w:sz w:val="21"/>
              </w:rPr>
              <w:t>APIs, customer portals</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2" w:right="18" w:firstLine="0"/>
              <w:jc w:val="left"/>
            </w:pPr>
            <w:r>
              <w:rPr>
                <w:sz w:val="21"/>
              </w:rPr>
              <w:t xml:space="preserve">Site-to-site VPNs, </w:t>
            </w:r>
            <w:proofErr w:type="spellStart"/>
            <w:r>
              <w:rPr>
                <w:sz w:val="21"/>
              </w:rPr>
              <w:t>remote</w:t>
            </w:r>
            <w:r>
              <w:rPr>
                <w:sz w:val="21"/>
              </w:rPr>
              <w:t>access</w:t>
            </w:r>
            <w:proofErr w:type="spellEnd"/>
            <w:r>
              <w:rPr>
                <w:sz w:val="21"/>
              </w:rPr>
              <w:t xml:space="preserve"> VPNs, internal backbone links</w:t>
            </w:r>
            <w:r>
              <w:rPr>
                <w:sz w:val="22"/>
              </w:rPr>
              <w:t xml:space="preserve"> </w:t>
            </w:r>
          </w:p>
        </w:tc>
      </w:tr>
      <w:tr w:rsidR="008A3376">
        <w:trPr>
          <w:trHeight w:val="883"/>
        </w:trPr>
        <w:tc>
          <w:tcPr>
            <w:tcW w:w="2042"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NAT traversal</w:t>
            </w:r>
            <w:r>
              <w:rPr>
                <w:sz w:val="22"/>
              </w:rPr>
              <w:t xml:space="preserve"> </w:t>
            </w:r>
          </w:p>
        </w:tc>
        <w:tc>
          <w:tcPr>
            <w:tcW w:w="317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Works natively, since it rides over ordinary TCP</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6" w:line="275" w:lineRule="auto"/>
              <w:ind w:left="2" w:right="29" w:firstLine="0"/>
              <w:jc w:val="left"/>
            </w:pPr>
            <w:r>
              <w:rPr>
                <w:sz w:val="21"/>
              </w:rPr>
              <w:t xml:space="preserve">Requires NAT-Traversal (NATT) extensions, especially in ESP </w:t>
            </w:r>
          </w:p>
          <w:p w:rsidR="008A3376" w:rsidRDefault="00A97FD3">
            <w:pPr>
              <w:spacing w:after="0" w:line="259" w:lineRule="auto"/>
              <w:ind w:left="2" w:right="0" w:firstLine="0"/>
              <w:jc w:val="left"/>
            </w:pPr>
            <w:r>
              <w:rPr>
                <w:sz w:val="21"/>
              </w:rPr>
              <w:t>mode</w:t>
            </w:r>
            <w:r>
              <w:rPr>
                <w:sz w:val="22"/>
              </w:rPr>
              <w:t xml:space="preserve"> </w:t>
            </w:r>
          </w:p>
        </w:tc>
      </w:tr>
      <w:tr w:rsidR="008A3376">
        <w:trPr>
          <w:trHeight w:val="605"/>
        </w:trPr>
        <w:tc>
          <w:tcPr>
            <w:tcW w:w="2042"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Granularity of control</w:t>
            </w:r>
            <w:r>
              <w:rPr>
                <w:sz w:val="22"/>
              </w:rPr>
              <w:t xml:space="preserve"> </w:t>
            </w:r>
          </w:p>
        </w:tc>
        <w:tc>
          <w:tcPr>
            <w:tcW w:w="317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Per-session / per-</w:t>
            </w:r>
            <w:r>
              <w:rPr>
                <w:sz w:val="21"/>
              </w:rPr>
              <w:t>port; easy to selectively enable per service</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2" w:right="0" w:firstLine="0"/>
              <w:jc w:val="left"/>
            </w:pPr>
            <w:r>
              <w:rPr>
                <w:sz w:val="21"/>
              </w:rPr>
              <w:t>Per-tunnel; typically protects all traffic between two endpoints</w:t>
            </w:r>
            <w:r>
              <w:rPr>
                <w:sz w:val="22"/>
              </w:rPr>
              <w:t xml:space="preserve"> </w:t>
            </w:r>
          </w:p>
        </w:tc>
      </w:tr>
      <w:tr w:rsidR="008A3376">
        <w:trPr>
          <w:trHeight w:val="607"/>
        </w:trPr>
        <w:tc>
          <w:tcPr>
            <w:tcW w:w="2042"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21" w:firstLine="0"/>
              <w:jc w:val="left"/>
            </w:pPr>
            <w:r>
              <w:rPr>
                <w:sz w:val="21"/>
              </w:rPr>
              <w:t>Governing standard</w:t>
            </w:r>
            <w:r>
              <w:rPr>
                <w:sz w:val="22"/>
              </w:rPr>
              <w:t xml:space="preserve"> </w:t>
            </w:r>
          </w:p>
        </w:tc>
        <w:tc>
          <w:tcPr>
            <w:tcW w:w="317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RFC 8446 (TLS 1.3)</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23" w:line="259" w:lineRule="auto"/>
              <w:ind w:left="2" w:right="0" w:firstLine="0"/>
              <w:jc w:val="left"/>
            </w:pPr>
            <w:r>
              <w:rPr>
                <w:sz w:val="21"/>
              </w:rPr>
              <w:t xml:space="preserve">RFC 4301 (IPsec Architecture), </w:t>
            </w:r>
          </w:p>
          <w:p w:rsidR="008A3376" w:rsidRDefault="00A97FD3">
            <w:pPr>
              <w:spacing w:after="0" w:line="259" w:lineRule="auto"/>
              <w:ind w:left="2" w:right="0" w:firstLine="0"/>
              <w:jc w:val="left"/>
            </w:pPr>
            <w:r>
              <w:rPr>
                <w:sz w:val="21"/>
              </w:rPr>
              <w:t>RFC 4303 (ESP)</w:t>
            </w:r>
            <w:r>
              <w:rPr>
                <w:sz w:val="22"/>
              </w:rPr>
              <w:t xml:space="preserve"> </w:t>
            </w:r>
          </w:p>
        </w:tc>
      </w:tr>
    </w:tbl>
    <w:p w:rsidR="008A3376" w:rsidRDefault="00A97FD3">
      <w:pPr>
        <w:spacing w:after="197" w:line="259" w:lineRule="auto"/>
        <w:ind w:left="0" w:right="0" w:firstLine="0"/>
        <w:jc w:val="left"/>
      </w:pPr>
      <w:r>
        <w:rPr>
          <w:sz w:val="22"/>
        </w:rPr>
        <w:t xml:space="preserve"> </w:t>
      </w:r>
    </w:p>
    <w:p w:rsidR="008A3376" w:rsidRDefault="00A97FD3">
      <w:pPr>
        <w:pStyle w:val="Heading2"/>
        <w:ind w:left="-5"/>
      </w:pPr>
      <w:r>
        <w:t>Key Observations</w:t>
      </w:r>
      <w:r>
        <w:rPr>
          <w:b w:val="0"/>
          <w:sz w:val="22"/>
        </w:rPr>
        <w:t xml:space="preserve"> </w:t>
      </w:r>
    </w:p>
    <w:p w:rsidR="008A3376" w:rsidRDefault="00A97FD3">
      <w:pPr>
        <w:numPr>
          <w:ilvl w:val="0"/>
          <w:numId w:val="2"/>
        </w:numPr>
        <w:spacing w:after="76" w:line="268" w:lineRule="auto"/>
        <w:ind w:right="43" w:hanging="257"/>
        <w:jc w:val="left"/>
      </w:pPr>
      <w:r>
        <w:rPr>
          <w:b/>
        </w:rPr>
        <w:t xml:space="preserve">Scope of protection: </w:t>
      </w:r>
      <w:r>
        <w:t>SSL/TLS protects data only for the application that explicitly opens a TLS session, whereas IPsec protects the IP layer itself, so every application riding on top inherits the protection automatically.</w:t>
      </w:r>
      <w:r>
        <w:rPr>
          <w:sz w:val="22"/>
        </w:rPr>
        <w:t xml:space="preserve"> </w:t>
      </w:r>
    </w:p>
    <w:p w:rsidR="008A3376" w:rsidRDefault="00A97FD3">
      <w:pPr>
        <w:numPr>
          <w:ilvl w:val="0"/>
          <w:numId w:val="2"/>
        </w:numPr>
        <w:spacing w:after="76" w:line="268" w:lineRule="auto"/>
        <w:ind w:right="43" w:hanging="257"/>
        <w:jc w:val="left"/>
      </w:pPr>
      <w:r>
        <w:rPr>
          <w:b/>
        </w:rPr>
        <w:t xml:space="preserve">Protocol independence: </w:t>
      </w:r>
      <w:r>
        <w:t>Because IPsec operates below t</w:t>
      </w:r>
      <w:r>
        <w:t>he transport layer, it is the only realistic option for securing non-HTTP traffic such as VoIP and file-sharing protocols between the branch offices.</w:t>
      </w:r>
      <w:r>
        <w:rPr>
          <w:sz w:val="22"/>
        </w:rPr>
        <w:t xml:space="preserve"> </w:t>
      </w:r>
    </w:p>
    <w:p w:rsidR="008A3376" w:rsidRDefault="00A97FD3">
      <w:pPr>
        <w:numPr>
          <w:ilvl w:val="0"/>
          <w:numId w:val="2"/>
        </w:numPr>
        <w:spacing w:after="76" w:line="268" w:lineRule="auto"/>
        <w:ind w:right="43" w:hanging="257"/>
        <w:jc w:val="left"/>
      </w:pPr>
      <w:r>
        <w:rPr>
          <w:b/>
        </w:rPr>
        <w:t xml:space="preserve">End-user trust signalling: </w:t>
      </w:r>
      <w:r>
        <w:t xml:space="preserve">TLS certificate validation gives the browser a direct, human-verifiable trust </w:t>
      </w:r>
      <w:r>
        <w:t>indicator (the padlock icon), which IPsec cannot offer to an end user.</w:t>
      </w:r>
      <w:r>
        <w:rPr>
          <w:sz w:val="22"/>
        </w:rPr>
        <w:t xml:space="preserve"> </w:t>
      </w:r>
    </w:p>
    <w:p w:rsidR="008A3376" w:rsidRDefault="00A97FD3">
      <w:pPr>
        <w:numPr>
          <w:ilvl w:val="0"/>
          <w:numId w:val="2"/>
        </w:numPr>
        <w:spacing w:after="156" w:line="268" w:lineRule="auto"/>
        <w:ind w:right="43" w:hanging="257"/>
        <w:jc w:val="left"/>
      </w:pPr>
      <w:r>
        <w:rPr>
          <w:b/>
        </w:rPr>
        <w:t xml:space="preserve">Deployment overhead: </w:t>
      </w:r>
      <w:r>
        <w:t xml:space="preserve">IPsec tunnels require coordinated configuration on gateway devices at both ends, while TLS requires only a certificate on the server </w:t>
      </w:r>
      <w:r>
        <w:t>—</w:t>
      </w:r>
      <w:r>
        <w:t xml:space="preserve"> making TLS far easier to rol</w:t>
      </w:r>
      <w:r>
        <w:t>l out for public-facing services.</w:t>
      </w:r>
      <w:r>
        <w:rPr>
          <w:sz w:val="22"/>
        </w:rPr>
        <w:t xml:space="preserve"> </w:t>
      </w:r>
    </w:p>
    <w:p w:rsidR="008A3376" w:rsidRDefault="00A97FD3">
      <w:pPr>
        <w:pStyle w:val="Heading2"/>
        <w:ind w:left="-5"/>
      </w:pPr>
      <w:r>
        <w:t>Critical Analysis and Recommendation</w:t>
      </w:r>
      <w:r>
        <w:rPr>
          <w:b w:val="0"/>
          <w:sz w:val="22"/>
        </w:rPr>
        <w:t xml:space="preserve"> </w:t>
      </w:r>
    </w:p>
    <w:p w:rsidR="008A3376" w:rsidRDefault="00A97FD3">
      <w:pPr>
        <w:spacing w:after="158"/>
        <w:ind w:left="-5" w:right="58"/>
      </w:pPr>
      <w:r>
        <w:t xml:space="preserve">For the internet banking portal, SSL/TLS is the better fit: customers connect from unmanaged devices with an ordinary browser, and TLS gives per-session encryption, certificate-based </w:t>
      </w:r>
      <w:r>
        <w:t xml:space="preserve">server authentication, and forward secrecy in TLS 1.3 without requiring any client-side configuration. For the branch-to-branch WAN, IPsec is the stronger choice because it protects every packet leaving the gateway </w:t>
      </w:r>
      <w:r>
        <w:t>—</w:t>
      </w:r>
      <w:r>
        <w:t xml:space="preserve"> including protocols with no </w:t>
      </w:r>
      <w:proofErr w:type="spellStart"/>
      <w:r>
        <w:t>builtin</w:t>
      </w:r>
      <w:proofErr w:type="spellEnd"/>
      <w:r>
        <w:t xml:space="preserve"> enc</w:t>
      </w:r>
      <w:r>
        <w:t xml:space="preserve">ryption </w:t>
      </w:r>
      <w:r>
        <w:t>—</w:t>
      </w:r>
      <w:r>
        <w:t xml:space="preserve"> and it centralises key management at the router/firewall rather than at every individual application.</w:t>
      </w:r>
      <w:r>
        <w:rPr>
          <w:sz w:val="22"/>
        </w:rPr>
        <w:t xml:space="preserve"> </w:t>
      </w:r>
    </w:p>
    <w:p w:rsidR="008A3376" w:rsidRDefault="00A97FD3">
      <w:pPr>
        <w:ind w:left="-5" w:right="58"/>
      </w:pPr>
      <w:r>
        <w:rPr>
          <w:b/>
        </w:rPr>
        <w:lastRenderedPageBreak/>
        <w:t xml:space="preserve">Recommendation: </w:t>
      </w:r>
      <w:r>
        <w:t>deploy TLS 1.3 for the customer portal (web-based protection) and a site-to-site IPsec tunnel using IKEv2 with AES-256/SHA-</w:t>
      </w:r>
      <w:r>
        <w:t>256 for the branch WAN (</w:t>
      </w:r>
      <w:proofErr w:type="spellStart"/>
      <w:r>
        <w:t>networklayer</w:t>
      </w:r>
      <w:proofErr w:type="spellEnd"/>
      <w:r>
        <w:t xml:space="preserve"> protection). The two protocols are complementary rather than competing, and a defence-in-depth posture uses both simultaneously.</w:t>
      </w:r>
      <w:r>
        <w:rPr>
          <w:sz w:val="22"/>
        </w:rPr>
        <w:t xml:space="preserve"> </w:t>
      </w:r>
    </w:p>
    <w:p w:rsidR="008A3376" w:rsidRDefault="00A97FD3">
      <w:pPr>
        <w:pStyle w:val="Heading1"/>
        <w:ind w:left="-5"/>
      </w:pPr>
      <w:r>
        <w:t xml:space="preserve">Question 2 </w:t>
      </w:r>
      <w:r>
        <w:t>—</w:t>
      </w:r>
      <w:r>
        <w:t xml:space="preserve"> End-to-End vs Gateway-Based Email Encryption</w:t>
      </w:r>
      <w:r>
        <w:rPr>
          <w:b w:val="0"/>
          <w:color w:val="000000"/>
          <w:sz w:val="22"/>
        </w:rPr>
        <w:t xml:space="preserve"> </w:t>
      </w:r>
    </w:p>
    <w:p w:rsidR="008A3376" w:rsidRDefault="00A97FD3">
      <w:pPr>
        <w:spacing w:after="215" w:line="259" w:lineRule="auto"/>
        <w:ind w:left="-29" w:right="0" w:firstLine="0"/>
        <w:jc w:val="left"/>
      </w:pPr>
      <w:r>
        <w:rPr>
          <w:rFonts w:ascii="Calibri" w:eastAsia="Calibri" w:hAnsi="Calibri" w:cs="Calibri"/>
          <w:noProof/>
          <w:sz w:val="22"/>
        </w:rPr>
        <mc:AlternateContent>
          <mc:Choice Requires="wpg">
            <w:drawing>
              <wp:inline distT="0" distB="0" distL="0" distR="0">
                <wp:extent cx="6054598" cy="12192"/>
                <wp:effectExtent l="0" t="0" r="0" b="0"/>
                <wp:docPr id="18026" name="Group 18026"/>
                <wp:cNvGraphicFramePr/>
                <a:graphic xmlns:a="http://schemas.openxmlformats.org/drawingml/2006/main">
                  <a:graphicData uri="http://schemas.microsoft.com/office/word/2010/wordprocessingGroup">
                    <wpg:wgp>
                      <wpg:cNvGrpSpPr/>
                      <wpg:grpSpPr>
                        <a:xfrm>
                          <a:off x="0" y="0"/>
                          <a:ext cx="6054598" cy="12192"/>
                          <a:chOff x="0" y="0"/>
                          <a:chExt cx="6054598" cy="12192"/>
                        </a:xfrm>
                      </wpg:grpSpPr>
                      <wps:wsp>
                        <wps:cNvPr id="21316" name="Shape 21316"/>
                        <wps:cNvSpPr/>
                        <wps:spPr>
                          <a:xfrm>
                            <a:off x="0" y="0"/>
                            <a:ext cx="6054598" cy="12192"/>
                          </a:xfrm>
                          <a:custGeom>
                            <a:avLst/>
                            <a:gdLst/>
                            <a:ahLst/>
                            <a:cxnLst/>
                            <a:rect l="0" t="0" r="0" b="0"/>
                            <a:pathLst>
                              <a:path w="6054598" h="12192">
                                <a:moveTo>
                                  <a:pt x="0" y="0"/>
                                </a:moveTo>
                                <a:lnTo>
                                  <a:pt x="6054598" y="0"/>
                                </a:lnTo>
                                <a:lnTo>
                                  <a:pt x="6054598" y="12192"/>
                                </a:lnTo>
                                <a:lnTo>
                                  <a:pt x="0" y="12192"/>
                                </a:lnTo>
                                <a:lnTo>
                                  <a:pt x="0" y="0"/>
                                </a:lnTo>
                              </a:path>
                            </a:pathLst>
                          </a:custGeom>
                          <a:ln w="0" cap="flat">
                            <a:miter lim="127000"/>
                          </a:ln>
                        </wps:spPr>
                        <wps:style>
                          <a:lnRef idx="0">
                            <a:srgbClr val="000000">
                              <a:alpha val="0"/>
                            </a:srgbClr>
                          </a:lnRef>
                          <a:fillRef idx="1">
                            <a:srgbClr val="1F3B57"/>
                          </a:fillRef>
                          <a:effectRef idx="0">
                            <a:scrgbClr r="0" g="0" b="0"/>
                          </a:effectRef>
                          <a:fontRef idx="none"/>
                        </wps:style>
                        <wps:bodyPr/>
                      </wps:wsp>
                    </wpg:wgp>
                  </a:graphicData>
                </a:graphic>
              </wp:inline>
            </w:drawing>
          </mc:Choice>
          <mc:Fallback xmlns:a="http://schemas.openxmlformats.org/drawingml/2006/main">
            <w:pict>
              <v:group id="Group 18026" style="width:476.74pt;height:0.960022pt;mso-position-horizontal-relative:char;mso-position-vertical-relative:line" coordsize="60545,121">
                <v:shape id="Shape 21317" style="position:absolute;width:60545;height:121;left:0;top:0;" coordsize="6054598,12192" path="m0,0l6054598,0l6054598,12192l0,12192l0,0">
                  <v:stroke weight="0pt" endcap="flat" joinstyle="miter" miterlimit="10" on="false" color="#000000" opacity="0"/>
                  <v:fill on="true" color="#1f3b57"/>
                </v:shape>
              </v:group>
            </w:pict>
          </mc:Fallback>
        </mc:AlternateContent>
      </w:r>
    </w:p>
    <w:p w:rsidR="008A3376" w:rsidRDefault="00A97FD3">
      <w:pPr>
        <w:pStyle w:val="Heading2"/>
        <w:ind w:left="-5"/>
      </w:pPr>
      <w:r>
        <w:t>Scenario</w:t>
      </w:r>
      <w:r>
        <w:rPr>
          <w:b w:val="0"/>
          <w:sz w:val="22"/>
        </w:rPr>
        <w:t xml:space="preserve"> </w:t>
      </w:r>
    </w:p>
    <w:p w:rsidR="008A3376" w:rsidRDefault="00A97FD3">
      <w:pPr>
        <w:spacing w:after="144"/>
        <w:ind w:left="-5" w:right="58"/>
      </w:pPr>
      <w:r>
        <w:t>A 3,000-</w:t>
      </w:r>
      <w:r>
        <w:t>employee manufacturing enterprise is redesigning its email security architecture. Legal and finance teams exchange highly sensitive contracts and must be certain that no intermediate party can read message content. At the same time, the IT security team is</w:t>
      </w:r>
      <w:r>
        <w:t xml:space="preserve"> contractually required to run antivirus scanning and data-loss-prevention (DLP) checks on all outbound mail, and compliance officers must be able to archive and, where lawfully required, review correspondence. The design question is whether to adopt end-t</w:t>
      </w:r>
      <w:r>
        <w:t>o-end encryption, gateway-based encryption, or a combination of the two.</w:t>
      </w:r>
      <w:r>
        <w:rPr>
          <w:sz w:val="22"/>
        </w:rPr>
        <w:t xml:space="preserve"> </w:t>
      </w:r>
    </w:p>
    <w:p w:rsidR="008A3376" w:rsidRDefault="00A97FD3">
      <w:pPr>
        <w:pStyle w:val="Heading3"/>
        <w:ind w:left="-5"/>
      </w:pPr>
      <w:r>
        <w:t xml:space="preserve">Table 2.1 </w:t>
      </w:r>
      <w:r>
        <w:t>—</w:t>
      </w:r>
      <w:r>
        <w:t xml:space="preserve"> End-to-end and gateway-based email encryption compared</w:t>
      </w:r>
      <w:r>
        <w:rPr>
          <w:b w:val="0"/>
          <w:i w:val="0"/>
        </w:rPr>
        <w:t xml:space="preserve"> </w:t>
      </w:r>
    </w:p>
    <w:tbl>
      <w:tblPr>
        <w:tblStyle w:val="TableGrid"/>
        <w:tblW w:w="8503" w:type="dxa"/>
        <w:tblInd w:w="486" w:type="dxa"/>
        <w:tblCellMar>
          <w:top w:w="48" w:type="dxa"/>
          <w:left w:w="107" w:type="dxa"/>
          <w:bottom w:w="0" w:type="dxa"/>
          <w:right w:w="56" w:type="dxa"/>
        </w:tblCellMar>
        <w:tblLook w:val="04A0" w:firstRow="1" w:lastRow="0" w:firstColumn="1" w:lastColumn="0" w:noHBand="0" w:noVBand="1"/>
      </w:tblPr>
      <w:tblGrid>
        <w:gridCol w:w="1929"/>
        <w:gridCol w:w="3288"/>
        <w:gridCol w:w="3286"/>
      </w:tblGrid>
      <w:tr w:rsidR="008A3376">
        <w:trPr>
          <w:trHeight w:val="590"/>
        </w:trPr>
        <w:tc>
          <w:tcPr>
            <w:tcW w:w="1929"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56" w:firstLine="0"/>
              <w:jc w:val="center"/>
            </w:pPr>
            <w:r>
              <w:rPr>
                <w:b/>
                <w:color w:val="FFFFFF"/>
                <w:sz w:val="22"/>
              </w:rPr>
              <w:t>Parameter</w:t>
            </w:r>
            <w:r>
              <w:rPr>
                <w:color w:val="FFFFFF"/>
                <w:sz w:val="22"/>
              </w:rPr>
              <w:t xml:space="preserve"> </w:t>
            </w:r>
          </w:p>
        </w:tc>
        <w:tc>
          <w:tcPr>
            <w:tcW w:w="3288"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16" w:line="259" w:lineRule="auto"/>
              <w:ind w:left="40" w:right="0" w:firstLine="0"/>
              <w:jc w:val="left"/>
            </w:pPr>
            <w:r>
              <w:rPr>
                <w:b/>
                <w:color w:val="FFFFFF"/>
                <w:sz w:val="22"/>
              </w:rPr>
              <w:t xml:space="preserve">End-to-End Encryption (PGP </w:t>
            </w:r>
          </w:p>
          <w:p w:rsidR="008A3376" w:rsidRDefault="00A97FD3">
            <w:pPr>
              <w:spacing w:after="0" w:line="259" w:lineRule="auto"/>
              <w:ind w:left="0" w:right="52" w:firstLine="0"/>
              <w:jc w:val="center"/>
            </w:pPr>
            <w:r>
              <w:rPr>
                <w:b/>
                <w:color w:val="FFFFFF"/>
                <w:sz w:val="22"/>
              </w:rPr>
              <w:t>/ S/MIME)</w:t>
            </w:r>
            <w:r>
              <w:rPr>
                <w:color w:val="FFFFFF"/>
                <w:sz w:val="22"/>
              </w:rPr>
              <w:t xml:space="preserve"> </w:t>
            </w:r>
          </w:p>
        </w:tc>
        <w:tc>
          <w:tcPr>
            <w:tcW w:w="3286"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112" w:right="0" w:firstLine="0"/>
              <w:jc w:val="left"/>
            </w:pPr>
            <w:r>
              <w:rPr>
                <w:b/>
                <w:color w:val="FFFFFF"/>
                <w:sz w:val="22"/>
              </w:rPr>
              <w:t>Gateway-Based Encryption</w:t>
            </w:r>
            <w:r>
              <w:rPr>
                <w:color w:val="FFFFFF"/>
                <w:sz w:val="22"/>
              </w:rPr>
              <w:t xml:space="preserve"> </w:t>
            </w:r>
          </w:p>
        </w:tc>
      </w:tr>
      <w:tr w:rsidR="008A3376">
        <w:trPr>
          <w:trHeight w:val="884"/>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24" w:firstLine="0"/>
              <w:jc w:val="left"/>
            </w:pPr>
            <w:r>
              <w:rPr>
                <w:sz w:val="21"/>
              </w:rPr>
              <w:t>Point of encryption</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Sender's device; decrypted only on recipient's device</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Organisation's email gateway/server, often over TLS to the next hop</w:t>
            </w:r>
            <w:r>
              <w:rPr>
                <w:sz w:val="22"/>
              </w:rPr>
              <w:t xml:space="preserve"> </w:t>
            </w:r>
          </w:p>
        </w:tc>
      </w:tr>
      <w:tr w:rsidR="008A3376">
        <w:trPr>
          <w:trHeight w:val="605"/>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pPr>
            <w:r>
              <w:rPr>
                <w:sz w:val="21"/>
              </w:rPr>
              <w:t>Key management</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Each user holds a personal key pair; burden is on the user</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Centrally managed by IT at the gateway</w:t>
            </w:r>
            <w:r>
              <w:rPr>
                <w:sz w:val="22"/>
              </w:rPr>
              <w:t xml:space="preserve"> </w:t>
            </w:r>
          </w:p>
        </w:tc>
      </w:tr>
      <w:tr w:rsidR="008A3376">
        <w:trPr>
          <w:trHeight w:val="884"/>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24" w:firstLine="0"/>
              <w:jc w:val="left"/>
            </w:pPr>
            <w:r>
              <w:rPr>
                <w:sz w:val="21"/>
              </w:rPr>
              <w:t>Content visibility in transit</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Opaque to every intermediate server, including the sender's own gateway</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13" w:firstLine="0"/>
              <w:jc w:val="left"/>
            </w:pPr>
            <w:r>
              <w:rPr>
                <w:sz w:val="21"/>
              </w:rPr>
              <w:t xml:space="preserve">Gateway can decrypt and inspect content before </w:t>
            </w:r>
            <w:proofErr w:type="spellStart"/>
            <w:r>
              <w:rPr>
                <w:sz w:val="21"/>
              </w:rPr>
              <w:t>reencrypting</w:t>
            </w:r>
            <w:proofErr w:type="spellEnd"/>
            <w:r>
              <w:rPr>
                <w:sz w:val="21"/>
              </w:rPr>
              <w:t>/forwarding</w:t>
            </w:r>
            <w:r>
              <w:rPr>
                <w:sz w:val="22"/>
              </w:rPr>
              <w:t xml:space="preserve"> </w:t>
            </w:r>
          </w:p>
        </w:tc>
      </w:tr>
      <w:tr w:rsidR="008A3376">
        <w:trPr>
          <w:trHeight w:val="605"/>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Antivirus / DLP scanning</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Not possible on message body without breaking confidentiality</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Fully supported, since the gateway can inspect plaintext</w:t>
            </w:r>
            <w:r>
              <w:rPr>
                <w:sz w:val="22"/>
              </w:rPr>
              <w:t xml:space="preserve"> </w:t>
            </w:r>
          </w:p>
        </w:tc>
      </w:tr>
      <w:tr w:rsidR="008A3376">
        <w:trPr>
          <w:trHeight w:val="883"/>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Regulatory archiving/</w:t>
            </w:r>
            <w:proofErr w:type="spellStart"/>
            <w:r>
              <w:rPr>
                <w:sz w:val="21"/>
              </w:rPr>
              <w:t>eDiscov</w:t>
            </w:r>
            <w:proofErr w:type="spellEnd"/>
            <w:r>
              <w:rPr>
                <w:sz w:val="21"/>
              </w:rPr>
              <w:t xml:space="preserve"> </w:t>
            </w:r>
            <w:proofErr w:type="spellStart"/>
            <w:r>
              <w:rPr>
                <w:sz w:val="21"/>
              </w:rPr>
              <w:t>ery</w:t>
            </w:r>
            <w:proofErr w:type="spellEnd"/>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 xml:space="preserve">Difficult </w:t>
            </w:r>
            <w:r>
              <w:rPr>
                <w:sz w:val="21"/>
              </w:rPr>
              <w:t>—</w:t>
            </w:r>
            <w:r>
              <w:rPr>
                <w:sz w:val="21"/>
              </w:rPr>
              <w:t xml:space="preserve"> organisation may not hold the decryption key</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 xml:space="preserve">Straightforward </w:t>
            </w:r>
            <w:r>
              <w:rPr>
                <w:sz w:val="21"/>
              </w:rPr>
              <w:t>—</w:t>
            </w:r>
            <w:r>
              <w:rPr>
                <w:sz w:val="21"/>
              </w:rPr>
              <w:t xml:space="preserve"> </w:t>
            </w:r>
            <w:r>
              <w:rPr>
                <w:sz w:val="21"/>
              </w:rPr>
              <w:t>organisation controls the gateway</w:t>
            </w:r>
            <w:r>
              <w:rPr>
                <w:sz w:val="22"/>
              </w:rPr>
              <w:t xml:space="preserve"> </w:t>
            </w:r>
          </w:p>
        </w:tc>
      </w:tr>
      <w:tr w:rsidR="008A3376">
        <w:trPr>
          <w:trHeight w:val="883"/>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User experience</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Requires certificate/key exchange with every external contact</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Transparent to end users; no client configuration</w:t>
            </w:r>
            <w:r>
              <w:rPr>
                <w:sz w:val="22"/>
              </w:rPr>
              <w:t xml:space="preserve"> </w:t>
            </w:r>
          </w:p>
        </w:tc>
      </w:tr>
      <w:tr w:rsidR="008A3376">
        <w:trPr>
          <w:trHeight w:val="884"/>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Best suited for</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Highly sensitive, targeted correspondence (legal, executive)</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Bulk day-</w:t>
            </w:r>
            <w:r>
              <w:rPr>
                <w:sz w:val="21"/>
              </w:rPr>
              <w:t>to-day business correspondence</w:t>
            </w:r>
            <w:r>
              <w:rPr>
                <w:sz w:val="22"/>
              </w:rPr>
              <w:t xml:space="preserve"> </w:t>
            </w:r>
          </w:p>
        </w:tc>
      </w:tr>
      <w:tr w:rsidR="008A3376">
        <w:trPr>
          <w:trHeight w:val="605"/>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Relevant standard</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23" w:line="259" w:lineRule="auto"/>
              <w:ind w:left="1" w:right="0" w:firstLine="0"/>
              <w:jc w:val="left"/>
            </w:pPr>
            <w:r>
              <w:rPr>
                <w:sz w:val="21"/>
              </w:rPr>
              <w:t>RFC 4880 (</w:t>
            </w:r>
            <w:proofErr w:type="spellStart"/>
            <w:r>
              <w:rPr>
                <w:sz w:val="21"/>
              </w:rPr>
              <w:t>OpenPGP</w:t>
            </w:r>
            <w:proofErr w:type="spellEnd"/>
            <w:r>
              <w:rPr>
                <w:sz w:val="21"/>
              </w:rPr>
              <w:t xml:space="preserve">), RFC </w:t>
            </w:r>
          </w:p>
          <w:p w:rsidR="008A3376" w:rsidRDefault="00A97FD3">
            <w:pPr>
              <w:spacing w:after="0" w:line="259" w:lineRule="auto"/>
              <w:ind w:left="1" w:right="0" w:firstLine="0"/>
              <w:jc w:val="left"/>
            </w:pPr>
            <w:r>
              <w:rPr>
                <w:sz w:val="21"/>
              </w:rPr>
              <w:t>8551 (S/MIME 4.0)</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23" w:line="259" w:lineRule="auto"/>
              <w:ind w:left="1" w:right="0" w:firstLine="0"/>
              <w:jc w:val="left"/>
            </w:pPr>
            <w:r>
              <w:rPr>
                <w:sz w:val="21"/>
              </w:rPr>
              <w:t xml:space="preserve">RFC 3207 (SMTP over TLS / </w:t>
            </w:r>
          </w:p>
          <w:p w:rsidR="008A3376" w:rsidRDefault="00A97FD3">
            <w:pPr>
              <w:spacing w:after="0" w:line="259" w:lineRule="auto"/>
              <w:ind w:left="1" w:right="0" w:firstLine="0"/>
              <w:jc w:val="left"/>
            </w:pPr>
            <w:r>
              <w:rPr>
                <w:sz w:val="21"/>
              </w:rPr>
              <w:t>STARTTLS)</w:t>
            </w:r>
            <w:r>
              <w:rPr>
                <w:sz w:val="22"/>
              </w:rPr>
              <w:t xml:space="preserve"> </w:t>
            </w:r>
          </w:p>
        </w:tc>
      </w:tr>
    </w:tbl>
    <w:p w:rsidR="008A3376" w:rsidRDefault="00A97FD3">
      <w:pPr>
        <w:spacing w:after="199" w:line="259" w:lineRule="auto"/>
        <w:ind w:left="0" w:right="0" w:firstLine="0"/>
        <w:jc w:val="left"/>
      </w:pPr>
      <w:r>
        <w:rPr>
          <w:sz w:val="22"/>
        </w:rPr>
        <w:t xml:space="preserve"> </w:t>
      </w:r>
    </w:p>
    <w:p w:rsidR="008A3376" w:rsidRDefault="00A97FD3">
      <w:pPr>
        <w:pStyle w:val="Heading2"/>
        <w:ind w:left="-5"/>
      </w:pPr>
      <w:r>
        <w:lastRenderedPageBreak/>
        <w:t>Key Observations</w:t>
      </w:r>
      <w:r>
        <w:rPr>
          <w:b w:val="0"/>
          <w:sz w:val="22"/>
        </w:rPr>
        <w:t xml:space="preserve"> </w:t>
      </w:r>
    </w:p>
    <w:p w:rsidR="008A3376" w:rsidRDefault="00A97FD3">
      <w:pPr>
        <w:numPr>
          <w:ilvl w:val="0"/>
          <w:numId w:val="3"/>
        </w:numPr>
        <w:spacing w:after="76" w:line="268" w:lineRule="auto"/>
        <w:ind w:right="43" w:hanging="257"/>
        <w:jc w:val="left"/>
      </w:pPr>
      <w:r>
        <w:rPr>
          <w:b/>
        </w:rPr>
        <w:t xml:space="preserve">The same property that maximises confidentiality also blocks security scanning: </w:t>
      </w:r>
      <w:r>
        <w:t>Because the message is opaque to every intermediate hop, malware scanning, spam filtering, and DLP keyword inspection cannot be performed on the body without the recipient's private key.</w:t>
      </w:r>
      <w:r>
        <w:rPr>
          <w:sz w:val="22"/>
        </w:rPr>
        <w:t xml:space="preserve"> </w:t>
      </w:r>
    </w:p>
    <w:p w:rsidR="008A3376" w:rsidRDefault="00A97FD3">
      <w:pPr>
        <w:numPr>
          <w:ilvl w:val="0"/>
          <w:numId w:val="3"/>
        </w:numPr>
        <w:spacing w:after="76" w:line="268" w:lineRule="auto"/>
        <w:ind w:right="43" w:hanging="257"/>
        <w:jc w:val="left"/>
      </w:pPr>
      <w:r>
        <w:rPr>
          <w:b/>
        </w:rPr>
        <w:t xml:space="preserve">Key custody is the central risk: </w:t>
      </w:r>
      <w:r>
        <w:t>A single lost or unrecoverable priv</w:t>
      </w:r>
      <w:r>
        <w:t xml:space="preserve">ate key can permanently lock the organisation out of its own archived correspondence </w:t>
      </w:r>
      <w:r>
        <w:t>—</w:t>
      </w:r>
      <w:r>
        <w:t xml:space="preserve"> a serious concern for compliance retention.</w:t>
      </w:r>
      <w:r>
        <w:rPr>
          <w:sz w:val="22"/>
        </w:rPr>
        <w:t xml:space="preserve"> </w:t>
      </w:r>
    </w:p>
    <w:p w:rsidR="008A3376" w:rsidRDefault="00A97FD3">
      <w:pPr>
        <w:numPr>
          <w:ilvl w:val="0"/>
          <w:numId w:val="3"/>
        </w:numPr>
        <w:spacing w:after="76" w:line="268" w:lineRule="auto"/>
        <w:ind w:right="43" w:hanging="257"/>
        <w:jc w:val="left"/>
      </w:pPr>
      <w:r>
        <w:rPr>
          <w:b/>
        </w:rPr>
        <w:t xml:space="preserve">Usability drives adoption: </w:t>
      </w:r>
      <w:r>
        <w:t>Gateway-based encryption keeps the security burden on IT rather than end users, which historicall</w:t>
      </w:r>
      <w:r>
        <w:t>y produces far higher adoption rates than PGP/S-MIME, which are notorious for low voluntary uptake.</w:t>
      </w:r>
      <w:r>
        <w:rPr>
          <w:sz w:val="22"/>
        </w:rPr>
        <w:t xml:space="preserve"> </w:t>
      </w:r>
    </w:p>
    <w:p w:rsidR="008A3376" w:rsidRDefault="00A97FD3">
      <w:pPr>
        <w:numPr>
          <w:ilvl w:val="0"/>
          <w:numId w:val="3"/>
        </w:numPr>
        <w:spacing w:after="156" w:line="268" w:lineRule="auto"/>
        <w:ind w:right="43" w:hanging="257"/>
        <w:jc w:val="left"/>
      </w:pPr>
      <w:r>
        <w:rPr>
          <w:b/>
        </w:rPr>
        <w:t xml:space="preserve">No single model is complete: </w:t>
      </w:r>
      <w:r>
        <w:t>Neither approach alone satisfies every requirement in this scenario; PGP/S-</w:t>
      </w:r>
      <w:r>
        <w:t xml:space="preserve">MIME satisfies confidentiality but not compliance scanning, </w:t>
      </w:r>
      <w:proofErr w:type="gramStart"/>
      <w:r>
        <w:t>and</w:t>
      </w:r>
      <w:proofErr w:type="gramEnd"/>
      <w:r>
        <w:t xml:space="preserve"> gateway encryption satisfies compliance but weakens confidentiality against a compromised gateway.</w:t>
      </w:r>
      <w:r>
        <w:rPr>
          <w:sz w:val="22"/>
        </w:rPr>
        <w:t xml:space="preserve"> </w:t>
      </w:r>
    </w:p>
    <w:p w:rsidR="008A3376" w:rsidRDefault="00A97FD3">
      <w:pPr>
        <w:pStyle w:val="Heading2"/>
        <w:ind w:left="-5"/>
      </w:pPr>
      <w:r>
        <w:t>Critical Analysis and Recommendation</w:t>
      </w:r>
      <w:r>
        <w:rPr>
          <w:b w:val="0"/>
          <w:sz w:val="22"/>
        </w:rPr>
        <w:t xml:space="preserve"> </w:t>
      </w:r>
    </w:p>
    <w:p w:rsidR="008A3376" w:rsidRDefault="00A97FD3">
      <w:pPr>
        <w:spacing w:after="160"/>
        <w:ind w:left="-5" w:right="58"/>
      </w:pPr>
      <w:r>
        <w:t>Gateway-based encryption should form the default layer</w:t>
      </w:r>
      <w:r>
        <w:t xml:space="preserve"> for the enterprise, since it lets the security team keep antivirus and DLP scanning active on essentially all traffic and gives IT a single point of key management for thousands of mailboxes. However, for the legal and finance correspondence identified as</w:t>
      </w:r>
      <w:r>
        <w:t xml:space="preserve"> highly sensitive, gateway-only encryption is insufficient, since a compromised gateway or a malicious insider could expose contract terms before a deal closes.</w:t>
      </w:r>
      <w:r>
        <w:rPr>
          <w:sz w:val="22"/>
        </w:rPr>
        <w:t xml:space="preserve"> </w:t>
      </w:r>
    </w:p>
    <w:p w:rsidR="008A3376" w:rsidRDefault="00A97FD3">
      <w:pPr>
        <w:ind w:left="-5" w:right="58"/>
      </w:pPr>
      <w:r>
        <w:rPr>
          <w:b/>
        </w:rPr>
        <w:t xml:space="preserve">Recommendation: </w:t>
      </w:r>
      <w:r>
        <w:t xml:space="preserve">adopt a layered model </w:t>
      </w:r>
      <w:r>
        <w:t>—</w:t>
      </w:r>
      <w:r>
        <w:t xml:space="preserve"> gateway-based TLS/DLP scanning as the enterprise-wide </w:t>
      </w:r>
      <w:r>
        <w:t>baseline, with S/MIME end-to-end encryption reserved for a defined list of high-sensitivity users and distribution lists (legal, M&amp;A, executive leadership). This hybrid approach is the most suitable for enterprise use because it balances confidentiality ag</w:t>
      </w:r>
      <w:r>
        <w:t>ainst the equally real requirements of malware defence and regulatory compliance.</w:t>
      </w:r>
      <w:r>
        <w:rPr>
          <w:sz w:val="22"/>
        </w:rPr>
        <w:t xml:space="preserve"> </w:t>
      </w:r>
    </w:p>
    <w:p w:rsidR="008A3376" w:rsidRDefault="00A97FD3">
      <w:pPr>
        <w:pStyle w:val="Heading1"/>
        <w:ind w:left="-5"/>
      </w:pPr>
      <w:r>
        <w:t xml:space="preserve">Question 3 </w:t>
      </w:r>
      <w:r>
        <w:t>—</w:t>
      </w:r>
      <w:r>
        <w:t xml:space="preserve"> HMAC vs Digital Signatures for Data Transmission</w:t>
      </w:r>
      <w:r>
        <w:rPr>
          <w:b w:val="0"/>
          <w:color w:val="000000"/>
          <w:sz w:val="22"/>
        </w:rPr>
        <w:t xml:space="preserve"> </w:t>
      </w:r>
    </w:p>
    <w:p w:rsidR="008A3376" w:rsidRDefault="00A97FD3">
      <w:pPr>
        <w:spacing w:after="215" w:line="259" w:lineRule="auto"/>
        <w:ind w:left="-29" w:right="0" w:firstLine="0"/>
        <w:jc w:val="left"/>
      </w:pPr>
      <w:r>
        <w:rPr>
          <w:rFonts w:ascii="Calibri" w:eastAsia="Calibri" w:hAnsi="Calibri" w:cs="Calibri"/>
          <w:noProof/>
          <w:sz w:val="22"/>
        </w:rPr>
        <mc:AlternateContent>
          <mc:Choice Requires="wpg">
            <w:drawing>
              <wp:inline distT="0" distB="0" distL="0" distR="0">
                <wp:extent cx="6054598" cy="12192"/>
                <wp:effectExtent l="0" t="0" r="0" b="0"/>
                <wp:docPr id="17216" name="Group 17216"/>
                <wp:cNvGraphicFramePr/>
                <a:graphic xmlns:a="http://schemas.openxmlformats.org/drawingml/2006/main">
                  <a:graphicData uri="http://schemas.microsoft.com/office/word/2010/wordprocessingGroup">
                    <wpg:wgp>
                      <wpg:cNvGrpSpPr/>
                      <wpg:grpSpPr>
                        <a:xfrm>
                          <a:off x="0" y="0"/>
                          <a:ext cx="6054598" cy="12192"/>
                          <a:chOff x="0" y="0"/>
                          <a:chExt cx="6054598" cy="12192"/>
                        </a:xfrm>
                      </wpg:grpSpPr>
                      <wps:wsp>
                        <wps:cNvPr id="21318" name="Shape 21318"/>
                        <wps:cNvSpPr/>
                        <wps:spPr>
                          <a:xfrm>
                            <a:off x="0" y="0"/>
                            <a:ext cx="6054598" cy="12192"/>
                          </a:xfrm>
                          <a:custGeom>
                            <a:avLst/>
                            <a:gdLst/>
                            <a:ahLst/>
                            <a:cxnLst/>
                            <a:rect l="0" t="0" r="0" b="0"/>
                            <a:pathLst>
                              <a:path w="6054598" h="12192">
                                <a:moveTo>
                                  <a:pt x="0" y="0"/>
                                </a:moveTo>
                                <a:lnTo>
                                  <a:pt x="6054598" y="0"/>
                                </a:lnTo>
                                <a:lnTo>
                                  <a:pt x="6054598" y="12192"/>
                                </a:lnTo>
                                <a:lnTo>
                                  <a:pt x="0" y="12192"/>
                                </a:lnTo>
                                <a:lnTo>
                                  <a:pt x="0" y="0"/>
                                </a:lnTo>
                              </a:path>
                            </a:pathLst>
                          </a:custGeom>
                          <a:ln w="0" cap="flat">
                            <a:miter lim="127000"/>
                          </a:ln>
                        </wps:spPr>
                        <wps:style>
                          <a:lnRef idx="0">
                            <a:srgbClr val="000000">
                              <a:alpha val="0"/>
                            </a:srgbClr>
                          </a:lnRef>
                          <a:fillRef idx="1">
                            <a:srgbClr val="1F3B57"/>
                          </a:fillRef>
                          <a:effectRef idx="0">
                            <a:scrgbClr r="0" g="0" b="0"/>
                          </a:effectRef>
                          <a:fontRef idx="none"/>
                        </wps:style>
                        <wps:bodyPr/>
                      </wps:wsp>
                    </wpg:wgp>
                  </a:graphicData>
                </a:graphic>
              </wp:inline>
            </w:drawing>
          </mc:Choice>
          <mc:Fallback xmlns:a="http://schemas.openxmlformats.org/drawingml/2006/main">
            <w:pict>
              <v:group id="Group 17216" style="width:476.74pt;height:0.959991pt;mso-position-horizontal-relative:char;mso-position-vertical-relative:line" coordsize="60545,121">
                <v:shape id="Shape 21319" style="position:absolute;width:60545;height:121;left:0;top:0;" coordsize="6054598,12192" path="m0,0l6054598,0l6054598,12192l0,12192l0,0">
                  <v:stroke weight="0pt" endcap="flat" joinstyle="miter" miterlimit="10" on="false" color="#000000" opacity="0"/>
                  <v:fill on="true" color="#1f3b57"/>
                </v:shape>
              </v:group>
            </w:pict>
          </mc:Fallback>
        </mc:AlternateContent>
      </w:r>
    </w:p>
    <w:p w:rsidR="008A3376" w:rsidRDefault="00A97FD3">
      <w:pPr>
        <w:pStyle w:val="Heading2"/>
        <w:ind w:left="-5"/>
      </w:pPr>
      <w:r>
        <w:t>Scenario</w:t>
      </w:r>
      <w:r>
        <w:rPr>
          <w:b w:val="0"/>
          <w:sz w:val="22"/>
        </w:rPr>
        <w:t xml:space="preserve"> </w:t>
      </w:r>
    </w:p>
    <w:p w:rsidR="008A3376" w:rsidRDefault="00A97FD3">
      <w:pPr>
        <w:spacing w:after="144"/>
        <w:ind w:left="-5" w:right="58"/>
      </w:pPr>
      <w:r>
        <w:t>Two data centres of a payment-processing company exchange end-of-</w:t>
      </w:r>
      <w:r>
        <w:t>day settlement files containing transaction totals owed between them. The receiving data centre must be able to prove, if a dispute later arises, that a specific file was produced by the sending data centre and was not altered in transit. The security arch</w:t>
      </w:r>
      <w:r>
        <w:t xml:space="preserve">itect must choose between HMAC and digital signatures </w:t>
      </w:r>
      <w:r>
        <w:t>—</w:t>
      </w:r>
      <w:r>
        <w:t xml:space="preserve"> or determine where each is appropriate.</w:t>
      </w:r>
      <w:r>
        <w:rPr>
          <w:sz w:val="22"/>
        </w:rPr>
        <w:t xml:space="preserve"> </w:t>
      </w:r>
    </w:p>
    <w:p w:rsidR="008A3376" w:rsidRDefault="00A97FD3">
      <w:pPr>
        <w:pStyle w:val="Heading3"/>
        <w:ind w:left="-5"/>
      </w:pPr>
      <w:r>
        <w:t xml:space="preserve">Table 3.1 </w:t>
      </w:r>
      <w:r>
        <w:t>—</w:t>
      </w:r>
      <w:r>
        <w:t xml:space="preserve"> HMAC and digital signatures compared for authentication and integrity</w:t>
      </w:r>
      <w:r>
        <w:rPr>
          <w:b w:val="0"/>
          <w:i w:val="0"/>
        </w:rPr>
        <w:t xml:space="preserve"> </w:t>
      </w:r>
    </w:p>
    <w:tbl>
      <w:tblPr>
        <w:tblStyle w:val="TableGrid"/>
        <w:tblW w:w="8503" w:type="dxa"/>
        <w:tblInd w:w="486" w:type="dxa"/>
        <w:tblCellMar>
          <w:top w:w="47" w:type="dxa"/>
          <w:left w:w="107" w:type="dxa"/>
          <w:bottom w:w="0" w:type="dxa"/>
          <w:right w:w="50" w:type="dxa"/>
        </w:tblCellMar>
        <w:tblLook w:val="04A0" w:firstRow="1" w:lastRow="0" w:firstColumn="1" w:lastColumn="0" w:noHBand="0" w:noVBand="1"/>
      </w:tblPr>
      <w:tblGrid>
        <w:gridCol w:w="1813"/>
        <w:gridCol w:w="3346"/>
        <w:gridCol w:w="3344"/>
      </w:tblGrid>
      <w:tr w:rsidR="008A3376">
        <w:trPr>
          <w:trHeight w:val="298"/>
        </w:trPr>
        <w:tc>
          <w:tcPr>
            <w:tcW w:w="1814"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2" w:firstLine="0"/>
              <w:jc w:val="center"/>
            </w:pPr>
            <w:r>
              <w:rPr>
                <w:b/>
                <w:color w:val="FFFFFF"/>
                <w:sz w:val="22"/>
              </w:rPr>
              <w:t>Parameter</w:t>
            </w:r>
            <w:r>
              <w:rPr>
                <w:color w:val="FFFFFF"/>
                <w:sz w:val="22"/>
              </w:rPr>
              <w:t xml:space="preserve"> </w:t>
            </w:r>
          </w:p>
        </w:tc>
        <w:tc>
          <w:tcPr>
            <w:tcW w:w="3346"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2" w:firstLine="0"/>
              <w:jc w:val="center"/>
            </w:pPr>
            <w:r>
              <w:rPr>
                <w:b/>
                <w:color w:val="FFFFFF"/>
                <w:sz w:val="22"/>
              </w:rPr>
              <w:t>HMAC</w:t>
            </w:r>
            <w:r>
              <w:rPr>
                <w:color w:val="FFFFFF"/>
                <w:sz w:val="22"/>
              </w:rPr>
              <w:t xml:space="preserve"> </w:t>
            </w:r>
          </w:p>
        </w:tc>
        <w:tc>
          <w:tcPr>
            <w:tcW w:w="3344"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1" w:right="0" w:firstLine="0"/>
              <w:jc w:val="center"/>
            </w:pPr>
            <w:r>
              <w:rPr>
                <w:b/>
                <w:color w:val="FFFFFF"/>
                <w:sz w:val="22"/>
              </w:rPr>
              <w:t>Digital Signature</w:t>
            </w:r>
            <w:r>
              <w:rPr>
                <w:color w:val="FFFFFF"/>
                <w:sz w:val="22"/>
              </w:rPr>
              <w:t xml:space="preserve"> </w:t>
            </w:r>
          </w:p>
        </w:tc>
      </w:tr>
      <w:tr w:rsidR="008A3376">
        <w:trPr>
          <w:trHeight w:val="606"/>
        </w:trPr>
        <w:tc>
          <w:tcPr>
            <w:tcW w:w="181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Underlying primitive</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23" w:line="259" w:lineRule="auto"/>
              <w:ind w:left="1" w:right="0" w:firstLine="0"/>
              <w:jc w:val="left"/>
            </w:pPr>
            <w:r>
              <w:rPr>
                <w:sz w:val="21"/>
              </w:rPr>
              <w:t>Keyed hash function (e.g. HMAC-</w:t>
            </w:r>
          </w:p>
          <w:p w:rsidR="008A3376" w:rsidRDefault="00A97FD3">
            <w:pPr>
              <w:spacing w:after="0" w:line="259" w:lineRule="auto"/>
              <w:ind w:left="1" w:right="0" w:firstLine="0"/>
              <w:jc w:val="left"/>
            </w:pPr>
            <w:r>
              <w:rPr>
                <w:sz w:val="21"/>
              </w:rPr>
              <w:t>SHA256)</w:t>
            </w:r>
            <w:r>
              <w:rPr>
                <w:sz w:val="22"/>
              </w:rPr>
              <w:t xml:space="preserve"> </w:t>
            </w:r>
          </w:p>
        </w:tc>
        <w:tc>
          <w:tcPr>
            <w:tcW w:w="334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Hash function + asymmetric key encryption (e.g. RSA, ECDSA)</w:t>
            </w:r>
            <w:r>
              <w:rPr>
                <w:sz w:val="22"/>
              </w:rPr>
              <w:t xml:space="preserve"> </w:t>
            </w:r>
          </w:p>
        </w:tc>
      </w:tr>
      <w:tr w:rsidR="008A3376">
        <w:trPr>
          <w:trHeight w:val="605"/>
        </w:trPr>
        <w:tc>
          <w:tcPr>
            <w:tcW w:w="181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lastRenderedPageBreak/>
              <w:t>Key type</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Single symmetric secret, shared by both parties</w:t>
            </w:r>
            <w:r>
              <w:rPr>
                <w:sz w:val="22"/>
              </w:rPr>
              <w:t xml:space="preserve"> </w:t>
            </w:r>
          </w:p>
        </w:tc>
        <w:tc>
          <w:tcPr>
            <w:tcW w:w="334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Sender's private key (signing) and public key (verification)</w:t>
            </w:r>
            <w:r>
              <w:rPr>
                <w:sz w:val="22"/>
              </w:rPr>
              <w:t xml:space="preserve"> </w:t>
            </w:r>
          </w:p>
        </w:tc>
      </w:tr>
      <w:tr w:rsidR="008A3376">
        <w:trPr>
          <w:trHeight w:val="607"/>
        </w:trPr>
        <w:tc>
          <w:tcPr>
            <w:tcW w:w="181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Integrity check</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 xml:space="preserve">Yes </w:t>
            </w:r>
            <w:r>
              <w:rPr>
                <w:sz w:val="21"/>
              </w:rPr>
              <w:t>—</w:t>
            </w:r>
            <w:r>
              <w:rPr>
                <w:sz w:val="21"/>
              </w:rPr>
              <w:t xml:space="preserve"> </w:t>
            </w:r>
            <w:r>
              <w:rPr>
                <w:sz w:val="21"/>
              </w:rPr>
              <w:t>any change to the message changes the MAC</w:t>
            </w:r>
            <w:r>
              <w:rPr>
                <w:sz w:val="22"/>
              </w:rPr>
              <w:t xml:space="preserve"> </w:t>
            </w:r>
          </w:p>
        </w:tc>
        <w:tc>
          <w:tcPr>
            <w:tcW w:w="334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 xml:space="preserve">Yes </w:t>
            </w:r>
            <w:r>
              <w:rPr>
                <w:sz w:val="21"/>
              </w:rPr>
              <w:t>—</w:t>
            </w:r>
            <w:r>
              <w:rPr>
                <w:sz w:val="21"/>
              </w:rPr>
              <w:t xml:space="preserve"> any change invalidates the signature</w:t>
            </w:r>
            <w:r>
              <w:rPr>
                <w:sz w:val="22"/>
              </w:rPr>
              <w:t xml:space="preserve"> </w:t>
            </w:r>
          </w:p>
        </w:tc>
      </w:tr>
      <w:tr w:rsidR="008A3376">
        <w:trPr>
          <w:trHeight w:val="884"/>
        </w:trPr>
        <w:tc>
          <w:tcPr>
            <w:tcW w:w="181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Authentication</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Yes, but only proves the message came from someone holding the shared key</w:t>
            </w:r>
            <w:r>
              <w:rPr>
                <w:sz w:val="22"/>
              </w:rPr>
              <w:t xml:space="preserve"> </w:t>
            </w:r>
          </w:p>
        </w:tc>
        <w:tc>
          <w:tcPr>
            <w:tcW w:w="334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Yes, tied to the identity behind the signer's certificate</w:t>
            </w:r>
            <w:r>
              <w:rPr>
                <w:sz w:val="22"/>
              </w:rPr>
              <w:t xml:space="preserve"> </w:t>
            </w:r>
          </w:p>
        </w:tc>
      </w:tr>
      <w:tr w:rsidR="008A3376">
        <w:trPr>
          <w:trHeight w:val="883"/>
        </w:trPr>
        <w:tc>
          <w:tcPr>
            <w:tcW w:w="181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Non-repudiation</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 xml:space="preserve">No </w:t>
            </w:r>
            <w:r>
              <w:rPr>
                <w:sz w:val="21"/>
              </w:rPr>
              <w:t>—</w:t>
            </w:r>
            <w:r>
              <w:rPr>
                <w:sz w:val="21"/>
              </w:rPr>
              <w:t xml:space="preserve"> either party could have generated the same MAC</w:t>
            </w:r>
            <w:r>
              <w:rPr>
                <w:sz w:val="22"/>
              </w:rPr>
              <w:t xml:space="preserve"> </w:t>
            </w:r>
          </w:p>
        </w:tc>
        <w:tc>
          <w:tcPr>
            <w:tcW w:w="334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 xml:space="preserve">Yes </w:t>
            </w:r>
            <w:r>
              <w:rPr>
                <w:sz w:val="21"/>
              </w:rPr>
              <w:t>—</w:t>
            </w:r>
            <w:r>
              <w:rPr>
                <w:sz w:val="21"/>
              </w:rPr>
              <w:t xml:space="preserve"> only the private-key holder could have produced the signature</w:t>
            </w:r>
            <w:r>
              <w:rPr>
                <w:sz w:val="22"/>
              </w:rPr>
              <w:t xml:space="preserve"> </w:t>
            </w:r>
          </w:p>
        </w:tc>
      </w:tr>
      <w:tr w:rsidR="008A3376">
        <w:trPr>
          <w:trHeight w:val="884"/>
        </w:trPr>
        <w:tc>
          <w:tcPr>
            <w:tcW w:w="181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Computational cost</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34" w:firstLine="0"/>
              <w:jc w:val="left"/>
            </w:pPr>
            <w:r>
              <w:rPr>
                <w:sz w:val="21"/>
              </w:rPr>
              <w:t>Low; a single hash operation, well suited to high volume</w:t>
            </w:r>
            <w:r>
              <w:rPr>
                <w:sz w:val="22"/>
              </w:rPr>
              <w:t xml:space="preserve"> </w:t>
            </w:r>
          </w:p>
        </w:tc>
        <w:tc>
          <w:tcPr>
            <w:tcW w:w="334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Higher; involves modular exponentiation or elliptic-</w:t>
            </w:r>
            <w:r>
              <w:rPr>
                <w:sz w:val="21"/>
              </w:rPr>
              <w:t>curve operations</w:t>
            </w:r>
            <w:r>
              <w:rPr>
                <w:sz w:val="22"/>
              </w:rPr>
              <w:t xml:space="preserve"> </w:t>
            </w:r>
          </w:p>
        </w:tc>
      </w:tr>
      <w:tr w:rsidR="008A3376">
        <w:trPr>
          <w:trHeight w:val="605"/>
        </w:trPr>
        <w:tc>
          <w:tcPr>
            <w:tcW w:w="181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Key distribution</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Must be securely pre-shared, and re-shared if compromised</w:t>
            </w:r>
            <w:r>
              <w:rPr>
                <w:sz w:val="22"/>
              </w:rPr>
              <w:t xml:space="preserve"> </w:t>
            </w:r>
          </w:p>
        </w:tc>
        <w:tc>
          <w:tcPr>
            <w:tcW w:w="334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Public keys can be freely distributed via a certificate/PKI</w:t>
            </w:r>
            <w:r>
              <w:rPr>
                <w:sz w:val="22"/>
              </w:rPr>
              <w:t xml:space="preserve"> </w:t>
            </w:r>
          </w:p>
        </w:tc>
      </w:tr>
      <w:tr w:rsidR="008A3376">
        <w:trPr>
          <w:trHeight w:val="883"/>
        </w:trPr>
        <w:tc>
          <w:tcPr>
            <w:tcW w:w="1814"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Governing standard</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RFC 2104 (HMAC)</w:t>
            </w:r>
            <w:r>
              <w:rPr>
                <w:sz w:val="22"/>
              </w:rPr>
              <w:t xml:space="preserve"> </w:t>
            </w:r>
          </w:p>
        </w:tc>
        <w:tc>
          <w:tcPr>
            <w:tcW w:w="3344" w:type="dxa"/>
            <w:tcBorders>
              <w:top w:val="single" w:sz="4" w:space="0" w:color="A6A6A6"/>
              <w:left w:val="single" w:sz="4" w:space="0" w:color="A6A6A6"/>
              <w:bottom w:val="single" w:sz="4" w:space="0" w:color="A6A6A6"/>
              <w:right w:val="single" w:sz="4" w:space="0" w:color="A6A6A6"/>
            </w:tcBorders>
          </w:tcPr>
          <w:p w:rsidR="008A3376" w:rsidRDefault="00A97FD3">
            <w:pPr>
              <w:spacing w:after="16" w:line="259" w:lineRule="auto"/>
              <w:ind w:left="0" w:right="0" w:firstLine="0"/>
              <w:jc w:val="left"/>
            </w:pPr>
            <w:r>
              <w:rPr>
                <w:sz w:val="21"/>
              </w:rPr>
              <w:t xml:space="preserve">FIPS 186-5 (Digital Signature </w:t>
            </w:r>
          </w:p>
          <w:p w:rsidR="008A3376" w:rsidRDefault="00A97FD3">
            <w:pPr>
              <w:spacing w:after="23" w:line="259" w:lineRule="auto"/>
              <w:ind w:left="0" w:right="0" w:firstLine="0"/>
              <w:jc w:val="left"/>
            </w:pPr>
            <w:r>
              <w:rPr>
                <w:sz w:val="21"/>
              </w:rPr>
              <w:t xml:space="preserve">Standard), RFC 3447 </w:t>
            </w:r>
          </w:p>
          <w:p w:rsidR="008A3376" w:rsidRDefault="00A97FD3">
            <w:pPr>
              <w:spacing w:after="0" w:line="259" w:lineRule="auto"/>
              <w:ind w:left="0" w:right="0" w:firstLine="0"/>
              <w:jc w:val="left"/>
            </w:pPr>
            <w:r>
              <w:rPr>
                <w:sz w:val="21"/>
              </w:rPr>
              <w:t>(RSA/PKCS#1)</w:t>
            </w:r>
            <w:r>
              <w:rPr>
                <w:sz w:val="22"/>
              </w:rPr>
              <w:t xml:space="preserve"> </w:t>
            </w:r>
          </w:p>
        </w:tc>
      </w:tr>
    </w:tbl>
    <w:p w:rsidR="008A3376" w:rsidRDefault="00A97FD3">
      <w:pPr>
        <w:spacing w:after="199" w:line="259" w:lineRule="auto"/>
        <w:ind w:left="0" w:right="0" w:firstLine="0"/>
        <w:jc w:val="left"/>
      </w:pPr>
      <w:r>
        <w:rPr>
          <w:sz w:val="22"/>
        </w:rPr>
        <w:t xml:space="preserve"> </w:t>
      </w:r>
    </w:p>
    <w:p w:rsidR="008A3376" w:rsidRDefault="00A97FD3">
      <w:pPr>
        <w:pStyle w:val="Heading2"/>
        <w:ind w:left="-5"/>
      </w:pPr>
      <w:r>
        <w:t>Key Observations</w:t>
      </w:r>
      <w:r>
        <w:rPr>
          <w:b w:val="0"/>
          <w:sz w:val="22"/>
        </w:rPr>
        <w:t xml:space="preserve"> </w:t>
      </w:r>
    </w:p>
    <w:p w:rsidR="008A3376" w:rsidRDefault="00A97FD3">
      <w:pPr>
        <w:numPr>
          <w:ilvl w:val="0"/>
          <w:numId w:val="4"/>
        </w:numPr>
        <w:spacing w:after="76" w:line="268" w:lineRule="auto"/>
        <w:ind w:right="43" w:hanging="257"/>
        <w:jc w:val="left"/>
      </w:pPr>
      <w:r>
        <w:rPr>
          <w:b/>
        </w:rPr>
        <w:t xml:space="preserve">Integrity is achieved by both mechanisms: </w:t>
      </w:r>
      <w:r>
        <w:t>Both HMAC and digital signatures detect any modification to the file, so the integrity guarantee they offer is functionally equivalent.</w:t>
      </w:r>
      <w:r>
        <w:rPr>
          <w:sz w:val="22"/>
        </w:rPr>
        <w:t xml:space="preserve"> </w:t>
      </w:r>
    </w:p>
    <w:p w:rsidR="008A3376" w:rsidRDefault="00A97FD3">
      <w:pPr>
        <w:numPr>
          <w:ilvl w:val="0"/>
          <w:numId w:val="4"/>
        </w:numPr>
        <w:spacing w:after="76" w:line="268" w:lineRule="auto"/>
        <w:ind w:right="43" w:hanging="257"/>
        <w:jc w:val="left"/>
      </w:pPr>
      <w:r>
        <w:rPr>
          <w:b/>
        </w:rPr>
        <w:t xml:space="preserve">HMAC cannot support non-repudiation: </w:t>
      </w:r>
      <w:r>
        <w:t>HMAC only proves the message came from a party that knows the shared secret; since both data centres know that secret, HMAC cannot distinguish which of the two parties actually created it.</w:t>
      </w:r>
      <w:r>
        <w:rPr>
          <w:sz w:val="22"/>
        </w:rPr>
        <w:t xml:space="preserve"> </w:t>
      </w:r>
    </w:p>
    <w:p w:rsidR="008A3376" w:rsidRDefault="00A97FD3">
      <w:pPr>
        <w:numPr>
          <w:ilvl w:val="0"/>
          <w:numId w:val="4"/>
        </w:numPr>
        <w:spacing w:after="76" w:line="268" w:lineRule="auto"/>
        <w:ind w:right="43" w:hanging="257"/>
        <w:jc w:val="left"/>
      </w:pPr>
      <w:r>
        <w:rPr>
          <w:b/>
        </w:rPr>
        <w:t xml:space="preserve">Digital signatures uniquely identify the originator: </w:t>
      </w:r>
      <w:r>
        <w:t>A digital sig</w:t>
      </w:r>
      <w:r>
        <w:t>nature is bound to a specific private key that only one entity holds, so it can be presented as evidence in a settlement dispute in a way an HMAC value cannot.</w:t>
      </w:r>
      <w:r>
        <w:rPr>
          <w:sz w:val="22"/>
        </w:rPr>
        <w:t xml:space="preserve"> </w:t>
      </w:r>
    </w:p>
    <w:p w:rsidR="008A3376" w:rsidRDefault="00A97FD3">
      <w:pPr>
        <w:numPr>
          <w:ilvl w:val="0"/>
          <w:numId w:val="4"/>
        </w:numPr>
        <w:spacing w:after="156" w:line="268" w:lineRule="auto"/>
        <w:ind w:right="43" w:hanging="257"/>
        <w:jc w:val="left"/>
      </w:pPr>
      <w:r>
        <w:rPr>
          <w:b/>
        </w:rPr>
        <w:t xml:space="preserve">Performance trade-off: </w:t>
      </w:r>
      <w:r>
        <w:t xml:space="preserve">HMAC computation is inexpensive and scales well to </w:t>
      </w:r>
      <w:proofErr w:type="spellStart"/>
      <w:r>
        <w:t>highfrequency</w:t>
      </w:r>
      <w:proofErr w:type="spellEnd"/>
      <w:r>
        <w:t xml:space="preserve"> interna</w:t>
      </w:r>
      <w:r>
        <w:t>l traffic, while signature generation and verification are markedly more CPU-intensive, particularly with RSA at large key sizes.</w:t>
      </w:r>
      <w:r>
        <w:rPr>
          <w:sz w:val="22"/>
        </w:rPr>
        <w:t xml:space="preserve"> </w:t>
      </w:r>
    </w:p>
    <w:p w:rsidR="008A3376" w:rsidRDefault="00A97FD3">
      <w:pPr>
        <w:pStyle w:val="Heading2"/>
        <w:ind w:left="-5"/>
      </w:pPr>
      <w:r>
        <w:t>Critical Analysis and Recommendation</w:t>
      </w:r>
      <w:r>
        <w:rPr>
          <w:b w:val="0"/>
          <w:sz w:val="22"/>
        </w:rPr>
        <w:t xml:space="preserve"> </w:t>
      </w:r>
    </w:p>
    <w:p w:rsidR="008A3376" w:rsidRDefault="00A97FD3">
      <w:pPr>
        <w:spacing w:after="161"/>
        <w:ind w:left="-5" w:right="58"/>
      </w:pPr>
      <w:r>
        <w:t>The deciding factor in this scenario is the dispute-resolution requirement, not raw int</w:t>
      </w:r>
      <w:r>
        <w:t>egrity protection. Since HMAC and a digital signature both detect tampering equally well, the choice hinges on whether the receiving party must later prove, to a third party, exactly who produced the file. That requirement is explicitly present here (settl</w:t>
      </w:r>
      <w:r>
        <w:t>ement disputes between two data centres), which rules out HMAC on its own.</w:t>
      </w:r>
      <w:r>
        <w:rPr>
          <w:sz w:val="22"/>
        </w:rPr>
        <w:t xml:space="preserve"> </w:t>
      </w:r>
    </w:p>
    <w:p w:rsidR="008A3376" w:rsidRDefault="00A97FD3">
      <w:pPr>
        <w:ind w:left="-5" w:right="58"/>
      </w:pPr>
      <w:r>
        <w:rPr>
          <w:b/>
        </w:rPr>
        <w:t xml:space="preserve">Recommendation: </w:t>
      </w:r>
      <w:r>
        <w:t>the settlement files should be digitally signed using RSA-2048 or ECDSA P-256 with SHA-256, giving both integrity and non-repudiation. HMAC remains the better choic</w:t>
      </w:r>
      <w:r>
        <w:t xml:space="preserve">e for lower-stakes, high-frequency internal traffic </w:t>
      </w:r>
      <w:r>
        <w:t>—</w:t>
      </w:r>
      <w:r>
        <w:t xml:space="preserve"> for example, authenticating </w:t>
      </w:r>
      <w:r>
        <w:lastRenderedPageBreak/>
        <w:t xml:space="preserve">API calls between </w:t>
      </w:r>
      <w:proofErr w:type="spellStart"/>
      <w:r>
        <w:t>microservices</w:t>
      </w:r>
      <w:proofErr w:type="spellEnd"/>
      <w:r>
        <w:t xml:space="preserve"> inside a single trusted network </w:t>
      </w:r>
      <w:r>
        <w:t>—</w:t>
      </w:r>
      <w:r>
        <w:t xml:space="preserve"> where speed matters more than the ability to prove authorship to an outside party.</w:t>
      </w:r>
      <w:r>
        <w:rPr>
          <w:sz w:val="22"/>
        </w:rPr>
        <w:t xml:space="preserve"> </w:t>
      </w:r>
    </w:p>
    <w:p w:rsidR="008A3376" w:rsidRDefault="00A97FD3">
      <w:pPr>
        <w:pStyle w:val="Heading1"/>
        <w:ind w:left="-5"/>
      </w:pPr>
      <w:r>
        <w:t xml:space="preserve">Question 4 </w:t>
      </w:r>
      <w:r>
        <w:t>—</w:t>
      </w:r>
      <w:r>
        <w:t xml:space="preserve"> </w:t>
      </w:r>
      <w:r>
        <w:t>Supervised vs Unsupervised Learning for Spam Detection</w:t>
      </w:r>
      <w:r>
        <w:rPr>
          <w:b w:val="0"/>
          <w:color w:val="000000"/>
          <w:sz w:val="22"/>
        </w:rPr>
        <w:t xml:space="preserve"> </w:t>
      </w:r>
    </w:p>
    <w:p w:rsidR="008A3376" w:rsidRDefault="00A97FD3">
      <w:pPr>
        <w:spacing w:after="215" w:line="259" w:lineRule="auto"/>
        <w:ind w:left="-29" w:right="0" w:firstLine="0"/>
        <w:jc w:val="left"/>
      </w:pPr>
      <w:r>
        <w:rPr>
          <w:rFonts w:ascii="Calibri" w:eastAsia="Calibri" w:hAnsi="Calibri" w:cs="Calibri"/>
          <w:noProof/>
          <w:sz w:val="22"/>
        </w:rPr>
        <mc:AlternateContent>
          <mc:Choice Requires="wpg">
            <w:drawing>
              <wp:inline distT="0" distB="0" distL="0" distR="0">
                <wp:extent cx="6054598" cy="12192"/>
                <wp:effectExtent l="0" t="0" r="0" b="0"/>
                <wp:docPr id="18529" name="Group 18529"/>
                <wp:cNvGraphicFramePr/>
                <a:graphic xmlns:a="http://schemas.openxmlformats.org/drawingml/2006/main">
                  <a:graphicData uri="http://schemas.microsoft.com/office/word/2010/wordprocessingGroup">
                    <wpg:wgp>
                      <wpg:cNvGrpSpPr/>
                      <wpg:grpSpPr>
                        <a:xfrm>
                          <a:off x="0" y="0"/>
                          <a:ext cx="6054598" cy="12192"/>
                          <a:chOff x="0" y="0"/>
                          <a:chExt cx="6054598" cy="12192"/>
                        </a:xfrm>
                      </wpg:grpSpPr>
                      <wps:wsp>
                        <wps:cNvPr id="21320" name="Shape 21320"/>
                        <wps:cNvSpPr/>
                        <wps:spPr>
                          <a:xfrm>
                            <a:off x="0" y="0"/>
                            <a:ext cx="6054598" cy="12192"/>
                          </a:xfrm>
                          <a:custGeom>
                            <a:avLst/>
                            <a:gdLst/>
                            <a:ahLst/>
                            <a:cxnLst/>
                            <a:rect l="0" t="0" r="0" b="0"/>
                            <a:pathLst>
                              <a:path w="6054598" h="12192">
                                <a:moveTo>
                                  <a:pt x="0" y="0"/>
                                </a:moveTo>
                                <a:lnTo>
                                  <a:pt x="6054598" y="0"/>
                                </a:lnTo>
                                <a:lnTo>
                                  <a:pt x="6054598" y="12192"/>
                                </a:lnTo>
                                <a:lnTo>
                                  <a:pt x="0" y="12192"/>
                                </a:lnTo>
                                <a:lnTo>
                                  <a:pt x="0" y="0"/>
                                </a:lnTo>
                              </a:path>
                            </a:pathLst>
                          </a:custGeom>
                          <a:ln w="0" cap="flat">
                            <a:miter lim="127000"/>
                          </a:ln>
                        </wps:spPr>
                        <wps:style>
                          <a:lnRef idx="0">
                            <a:srgbClr val="000000">
                              <a:alpha val="0"/>
                            </a:srgbClr>
                          </a:lnRef>
                          <a:fillRef idx="1">
                            <a:srgbClr val="1F3B57"/>
                          </a:fillRef>
                          <a:effectRef idx="0">
                            <a:scrgbClr r="0" g="0" b="0"/>
                          </a:effectRef>
                          <a:fontRef idx="none"/>
                        </wps:style>
                        <wps:bodyPr/>
                      </wps:wsp>
                    </wpg:wgp>
                  </a:graphicData>
                </a:graphic>
              </wp:inline>
            </w:drawing>
          </mc:Choice>
          <mc:Fallback xmlns:a="http://schemas.openxmlformats.org/drawingml/2006/main">
            <w:pict>
              <v:group id="Group 18529" style="width:476.74pt;height:0.960022pt;mso-position-horizontal-relative:char;mso-position-vertical-relative:line" coordsize="60545,121">
                <v:shape id="Shape 21321" style="position:absolute;width:60545;height:121;left:0;top:0;" coordsize="6054598,12192" path="m0,0l6054598,0l6054598,12192l0,12192l0,0">
                  <v:stroke weight="0pt" endcap="flat" joinstyle="miter" miterlimit="10" on="false" color="#000000" opacity="0"/>
                  <v:fill on="true" color="#1f3b57"/>
                </v:shape>
              </v:group>
            </w:pict>
          </mc:Fallback>
        </mc:AlternateContent>
      </w:r>
    </w:p>
    <w:p w:rsidR="008A3376" w:rsidRDefault="00A97FD3">
      <w:pPr>
        <w:pStyle w:val="Heading2"/>
        <w:ind w:left="-5"/>
      </w:pPr>
      <w:r>
        <w:t>Scenario</w:t>
      </w:r>
      <w:r>
        <w:rPr>
          <w:b w:val="0"/>
          <w:sz w:val="22"/>
        </w:rPr>
        <w:t xml:space="preserve"> </w:t>
      </w:r>
    </w:p>
    <w:p w:rsidR="008A3376" w:rsidRDefault="00A97FD3">
      <w:pPr>
        <w:spacing w:after="144"/>
        <w:ind w:left="-5" w:right="58"/>
      </w:pPr>
      <w:r>
        <w:t xml:space="preserve">An email service provider handling several million messages a day wants to build a </w:t>
      </w:r>
      <w:proofErr w:type="spellStart"/>
      <w:r>
        <w:t>spamdetection</w:t>
      </w:r>
      <w:proofErr w:type="spellEnd"/>
      <w:r>
        <w:t xml:space="preserve"> system. Historical mail is available with millions of messages already labelled </w:t>
      </w:r>
      <w:r>
        <w:t>“spam” or “</w:t>
      </w:r>
      <w:proofErr w:type="spellStart"/>
      <w:r>
        <w:t>hnot</w:t>
      </w:r>
      <w:proofErr w:type="spellEnd"/>
      <w:r>
        <w:t xml:space="preserve"> spam” by users, but new spam campaigns (novel phishing kits, f</w:t>
      </w:r>
      <w:r>
        <w:t xml:space="preserve">reshly registered domains, </w:t>
      </w:r>
      <w:proofErr w:type="gramStart"/>
      <w:r>
        <w:t>image</w:t>
      </w:r>
      <w:proofErr w:type="gramEnd"/>
      <w:r>
        <w:t xml:space="preserve">-based spam) appear daily, before any labelled examples of them exist. The design team must weigh supervised learning against unsupervised learning for this </w:t>
      </w:r>
      <w:r>
        <w:t>pipeline.</w:t>
      </w:r>
      <w:r>
        <w:rPr>
          <w:sz w:val="22"/>
        </w:rPr>
        <w:t xml:space="preserve"> </w:t>
      </w:r>
    </w:p>
    <w:p w:rsidR="008A3376" w:rsidRDefault="00A97FD3">
      <w:pPr>
        <w:pStyle w:val="Heading3"/>
        <w:ind w:left="-5"/>
      </w:pPr>
      <w:r>
        <w:t xml:space="preserve">Table 4.1 </w:t>
      </w:r>
      <w:r>
        <w:t>—</w:t>
      </w:r>
      <w:r>
        <w:t xml:space="preserve"> Supervised and unsupervised approaches to spam detection compared</w:t>
      </w:r>
      <w:r>
        <w:rPr>
          <w:b w:val="0"/>
          <w:i w:val="0"/>
        </w:rPr>
        <w:t xml:space="preserve"> </w:t>
      </w:r>
    </w:p>
    <w:tbl>
      <w:tblPr>
        <w:tblStyle w:val="TableGrid"/>
        <w:tblW w:w="8616" w:type="dxa"/>
        <w:tblInd w:w="431" w:type="dxa"/>
        <w:tblCellMar>
          <w:top w:w="48" w:type="dxa"/>
          <w:left w:w="107" w:type="dxa"/>
          <w:bottom w:w="0" w:type="dxa"/>
          <w:right w:w="62" w:type="dxa"/>
        </w:tblCellMar>
        <w:tblLook w:val="04A0" w:firstRow="1" w:lastRow="0" w:firstColumn="1" w:lastColumn="0" w:noHBand="0" w:noVBand="1"/>
      </w:tblPr>
      <w:tblGrid>
        <w:gridCol w:w="2039"/>
        <w:gridCol w:w="3346"/>
        <w:gridCol w:w="3231"/>
      </w:tblGrid>
      <w:tr w:rsidR="008A3376">
        <w:trPr>
          <w:trHeight w:val="298"/>
        </w:trPr>
        <w:tc>
          <w:tcPr>
            <w:tcW w:w="2039"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45" w:firstLine="0"/>
              <w:jc w:val="center"/>
            </w:pPr>
            <w:r>
              <w:rPr>
                <w:b/>
                <w:color w:val="FFFFFF"/>
                <w:sz w:val="22"/>
              </w:rPr>
              <w:t>Parameter</w:t>
            </w:r>
            <w:r>
              <w:rPr>
                <w:color w:val="FFFFFF"/>
                <w:sz w:val="22"/>
              </w:rPr>
              <w:t xml:space="preserve"> </w:t>
            </w:r>
          </w:p>
        </w:tc>
        <w:tc>
          <w:tcPr>
            <w:tcW w:w="3346"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44" w:firstLine="0"/>
              <w:jc w:val="center"/>
            </w:pPr>
            <w:r>
              <w:rPr>
                <w:b/>
                <w:color w:val="FFFFFF"/>
                <w:sz w:val="22"/>
              </w:rPr>
              <w:t>Supervised Learning</w:t>
            </w:r>
            <w:r>
              <w:rPr>
                <w:color w:val="FFFFFF"/>
                <w:sz w:val="22"/>
              </w:rPr>
              <w:t xml:space="preserve"> </w:t>
            </w:r>
          </w:p>
        </w:tc>
        <w:tc>
          <w:tcPr>
            <w:tcW w:w="3231"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44" w:firstLine="0"/>
              <w:jc w:val="center"/>
            </w:pPr>
            <w:r>
              <w:rPr>
                <w:b/>
                <w:color w:val="FFFFFF"/>
                <w:sz w:val="22"/>
              </w:rPr>
              <w:t>Unsupervised Learning</w:t>
            </w:r>
            <w:r>
              <w:rPr>
                <w:color w:val="FFFFFF"/>
                <w:sz w:val="22"/>
              </w:rPr>
              <w:t xml:space="preserve"> </w:t>
            </w:r>
          </w:p>
        </w:tc>
      </w:tr>
      <w:tr w:rsidR="008A3376">
        <w:trPr>
          <w:trHeight w:val="606"/>
        </w:trPr>
        <w:tc>
          <w:tcPr>
            <w:tcW w:w="203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Training data requirement</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Requires large volumes of labelled spam/ham examples</w:t>
            </w:r>
            <w:r>
              <w:rPr>
                <w:sz w:val="22"/>
              </w:rPr>
              <w:t xml:space="preserve"> </w:t>
            </w:r>
          </w:p>
        </w:tc>
        <w:tc>
          <w:tcPr>
            <w:tcW w:w="3231"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Works on unlabelled mail, grouping it by similarity</w:t>
            </w:r>
            <w:r>
              <w:rPr>
                <w:sz w:val="22"/>
              </w:rPr>
              <w:t xml:space="preserve"> </w:t>
            </w:r>
          </w:p>
        </w:tc>
      </w:tr>
      <w:tr w:rsidR="008A3376">
        <w:trPr>
          <w:trHeight w:val="883"/>
        </w:trPr>
        <w:tc>
          <w:tcPr>
            <w:tcW w:w="203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Typical algorithms</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Naive Bayes, SVM, logistic regression, random forest, gradient boosting</w:t>
            </w:r>
            <w:r>
              <w:rPr>
                <w:sz w:val="22"/>
              </w:rPr>
              <w:t xml:space="preserve"> </w:t>
            </w:r>
          </w:p>
        </w:tc>
        <w:tc>
          <w:tcPr>
            <w:tcW w:w="3231"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 xml:space="preserve">k-means / DBSCAN clustering, </w:t>
            </w:r>
            <w:proofErr w:type="spellStart"/>
            <w:r>
              <w:rPr>
                <w:sz w:val="21"/>
              </w:rPr>
              <w:t>autoencoder</w:t>
            </w:r>
            <w:proofErr w:type="spellEnd"/>
            <w:r>
              <w:rPr>
                <w:sz w:val="21"/>
              </w:rPr>
              <w:t>-based anomaly detection</w:t>
            </w:r>
            <w:r>
              <w:rPr>
                <w:sz w:val="22"/>
              </w:rPr>
              <w:t xml:space="preserve"> </w:t>
            </w:r>
          </w:p>
        </w:tc>
      </w:tr>
      <w:tr w:rsidR="008A3376">
        <w:trPr>
          <w:trHeight w:val="608"/>
        </w:trPr>
        <w:tc>
          <w:tcPr>
            <w:tcW w:w="203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Detection of known spam patterns</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Very high accuracy once trained on representative data</w:t>
            </w:r>
            <w:r>
              <w:rPr>
                <w:sz w:val="22"/>
              </w:rPr>
              <w:t xml:space="preserve"> </w:t>
            </w:r>
          </w:p>
        </w:tc>
        <w:tc>
          <w:tcPr>
            <w:tcW w:w="3231"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Weaker; not optimised to match a known label</w:t>
            </w:r>
            <w:r>
              <w:rPr>
                <w:sz w:val="22"/>
              </w:rPr>
              <w:t xml:space="preserve"> </w:t>
            </w:r>
          </w:p>
        </w:tc>
      </w:tr>
      <w:tr w:rsidR="008A3376">
        <w:trPr>
          <w:trHeight w:val="883"/>
        </w:trPr>
        <w:tc>
          <w:tcPr>
            <w:tcW w:w="203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Detection of novel/zero-day campaigns</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Poor until retrained with newly labelled examples</w:t>
            </w:r>
            <w:r>
              <w:rPr>
                <w:sz w:val="22"/>
              </w:rPr>
              <w:t xml:space="preserve"> </w:t>
            </w:r>
          </w:p>
        </w:tc>
        <w:tc>
          <w:tcPr>
            <w:tcW w:w="3231"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Stronger; can flag messages that deviate from normal traffic as</w:t>
            </w:r>
            <w:r>
              <w:rPr>
                <w:sz w:val="21"/>
              </w:rPr>
              <w:t xml:space="preserve"> anomalies</w:t>
            </w:r>
            <w:r>
              <w:rPr>
                <w:sz w:val="22"/>
              </w:rPr>
              <w:t xml:space="preserve"> </w:t>
            </w:r>
          </w:p>
        </w:tc>
      </w:tr>
      <w:tr w:rsidR="008A3376">
        <w:trPr>
          <w:trHeight w:val="605"/>
        </w:trPr>
        <w:tc>
          <w:tcPr>
            <w:tcW w:w="203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Interpretability of results</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Reasonably interpretable (feature weights, decision rules)</w:t>
            </w:r>
            <w:r>
              <w:rPr>
                <w:sz w:val="22"/>
              </w:rPr>
              <w:t xml:space="preserve"> </w:t>
            </w:r>
          </w:p>
        </w:tc>
        <w:tc>
          <w:tcPr>
            <w:tcW w:w="3231"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Harder to interpret; a cluster's meaning must be inferred</w:t>
            </w:r>
            <w:r>
              <w:rPr>
                <w:sz w:val="22"/>
              </w:rPr>
              <w:t xml:space="preserve"> </w:t>
            </w:r>
          </w:p>
        </w:tc>
      </w:tr>
      <w:tr w:rsidR="008A3376">
        <w:trPr>
          <w:trHeight w:val="605"/>
        </w:trPr>
        <w:tc>
          <w:tcPr>
            <w:tcW w:w="203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Maintenance burden</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Needs continuous relabelling as spam tactics evolve</w:t>
            </w:r>
            <w:r>
              <w:rPr>
                <w:sz w:val="22"/>
              </w:rPr>
              <w:t xml:space="preserve"> </w:t>
            </w:r>
          </w:p>
        </w:tc>
        <w:tc>
          <w:tcPr>
            <w:tcW w:w="3231"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Needs periodic tuning of cluster/anomaly thresholds</w:t>
            </w:r>
            <w:r>
              <w:rPr>
                <w:sz w:val="22"/>
              </w:rPr>
              <w:t xml:space="preserve"> </w:t>
            </w:r>
          </w:p>
        </w:tc>
      </w:tr>
      <w:tr w:rsidR="008A3376">
        <w:trPr>
          <w:trHeight w:val="884"/>
        </w:trPr>
        <w:tc>
          <w:tcPr>
            <w:tcW w:w="203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False positive risk</w:t>
            </w:r>
            <w:r>
              <w:rPr>
                <w:sz w:val="22"/>
              </w:rPr>
              <w:t xml:space="preserve"> </w:t>
            </w:r>
          </w:p>
        </w:tc>
        <w:tc>
          <w:tcPr>
            <w:tcW w:w="334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Low, once well trained on representative data</w:t>
            </w:r>
            <w:r>
              <w:rPr>
                <w:sz w:val="22"/>
              </w:rPr>
              <w:t xml:space="preserve"> </w:t>
            </w:r>
          </w:p>
        </w:tc>
        <w:tc>
          <w:tcPr>
            <w:tcW w:w="3231" w:type="dxa"/>
            <w:tcBorders>
              <w:top w:val="single" w:sz="4" w:space="0" w:color="A6A6A6"/>
              <w:left w:val="single" w:sz="4" w:space="0" w:color="A6A6A6"/>
              <w:bottom w:val="single" w:sz="4" w:space="0" w:color="A6A6A6"/>
              <w:right w:val="single" w:sz="4" w:space="0" w:color="A6A6A6"/>
            </w:tcBorders>
          </w:tcPr>
          <w:p w:rsidR="008A3376" w:rsidRDefault="00A97FD3">
            <w:pPr>
              <w:spacing w:after="7" w:line="275" w:lineRule="auto"/>
              <w:ind w:left="1" w:right="0" w:firstLine="0"/>
              <w:jc w:val="left"/>
            </w:pPr>
            <w:r>
              <w:rPr>
                <w:sz w:val="21"/>
              </w:rPr>
              <w:t xml:space="preserve">Higher, since normal but unusual mail may resemble an </w:t>
            </w:r>
          </w:p>
          <w:p w:rsidR="008A3376" w:rsidRDefault="00A97FD3">
            <w:pPr>
              <w:spacing w:after="0" w:line="259" w:lineRule="auto"/>
              <w:ind w:left="1" w:right="0" w:firstLine="0"/>
              <w:jc w:val="left"/>
            </w:pPr>
            <w:r>
              <w:rPr>
                <w:sz w:val="21"/>
              </w:rPr>
              <w:t>anomaly</w:t>
            </w:r>
            <w:r>
              <w:rPr>
                <w:sz w:val="22"/>
              </w:rPr>
              <w:t xml:space="preserve"> </w:t>
            </w:r>
          </w:p>
        </w:tc>
      </w:tr>
    </w:tbl>
    <w:p w:rsidR="008A3376" w:rsidRDefault="00A97FD3">
      <w:pPr>
        <w:spacing w:after="197" w:line="259" w:lineRule="auto"/>
        <w:ind w:left="0" w:right="0" w:firstLine="0"/>
        <w:jc w:val="left"/>
      </w:pPr>
      <w:r>
        <w:rPr>
          <w:sz w:val="22"/>
        </w:rPr>
        <w:t xml:space="preserve"> </w:t>
      </w:r>
    </w:p>
    <w:p w:rsidR="008A3376" w:rsidRDefault="00A97FD3">
      <w:pPr>
        <w:pStyle w:val="Heading2"/>
        <w:ind w:left="-5"/>
      </w:pPr>
      <w:r>
        <w:t>Key Observations</w:t>
      </w:r>
      <w:r>
        <w:rPr>
          <w:b w:val="0"/>
          <w:sz w:val="22"/>
        </w:rPr>
        <w:t xml:space="preserve"> </w:t>
      </w:r>
    </w:p>
    <w:p w:rsidR="008A3376" w:rsidRDefault="00A97FD3">
      <w:pPr>
        <w:numPr>
          <w:ilvl w:val="0"/>
          <w:numId w:val="5"/>
        </w:numPr>
        <w:spacing w:after="76" w:line="268" w:lineRule="auto"/>
        <w:ind w:right="43" w:hanging="257"/>
        <w:jc w:val="left"/>
      </w:pPr>
      <w:r>
        <w:rPr>
          <w:b/>
        </w:rPr>
        <w:t xml:space="preserve">Supervised models excel at known patterns: </w:t>
      </w:r>
      <w:r>
        <w:t>A supervised classifier trained on millions of labelled examples will reliably catch spam patterns it has already seen, but its accuracy degrades quickly against a spam campaign that has no prior labelled examples.</w:t>
      </w:r>
      <w:r>
        <w:rPr>
          <w:sz w:val="22"/>
        </w:rPr>
        <w:t xml:space="preserve"> </w:t>
      </w:r>
    </w:p>
    <w:p w:rsidR="008A3376" w:rsidRDefault="00A97FD3">
      <w:pPr>
        <w:numPr>
          <w:ilvl w:val="0"/>
          <w:numId w:val="5"/>
        </w:numPr>
        <w:spacing w:after="76" w:line="268" w:lineRule="auto"/>
        <w:ind w:right="43" w:hanging="257"/>
        <w:jc w:val="left"/>
      </w:pPr>
      <w:r>
        <w:rPr>
          <w:b/>
        </w:rPr>
        <w:t xml:space="preserve">Unsupervised models excel at novelty: </w:t>
      </w:r>
      <w:r>
        <w:t>Un</w:t>
      </w:r>
      <w:r>
        <w:t xml:space="preserve">supervised methods do not need </w:t>
      </w:r>
      <w:proofErr w:type="spellStart"/>
      <w:r>
        <w:t>preexisting</w:t>
      </w:r>
      <w:proofErr w:type="spellEnd"/>
      <w:r>
        <w:t xml:space="preserve"> labels, so they are better positioned to flag a brand-new phishing </w:t>
      </w:r>
      <w:r>
        <w:lastRenderedPageBreak/>
        <w:t>campaign as anomalous the first time it appears, purely because it behaves differently from ordinary mail.</w:t>
      </w:r>
      <w:r>
        <w:rPr>
          <w:sz w:val="22"/>
        </w:rPr>
        <w:t xml:space="preserve"> </w:t>
      </w:r>
    </w:p>
    <w:p w:rsidR="008A3376" w:rsidRDefault="00A97FD3">
      <w:pPr>
        <w:numPr>
          <w:ilvl w:val="0"/>
          <w:numId w:val="5"/>
        </w:numPr>
        <w:spacing w:after="76" w:line="268" w:lineRule="auto"/>
        <w:ind w:right="43" w:hanging="257"/>
        <w:jc w:val="left"/>
      </w:pPr>
      <w:r>
        <w:rPr>
          <w:b/>
        </w:rPr>
        <w:t>User feedback effectively blurs the bo</w:t>
      </w:r>
      <w:r>
        <w:rPr>
          <w:b/>
        </w:rPr>
        <w:t xml:space="preserve">undary between the two approaches: </w:t>
      </w:r>
      <w:r>
        <w:t>Every message a user marks as spam or not-spam is itself a fresh label, so real filtering systems continually re-train supervised models on this feedback rather than treating training as a one-time event.</w:t>
      </w:r>
      <w:r>
        <w:rPr>
          <w:sz w:val="22"/>
        </w:rPr>
        <w:t xml:space="preserve"> </w:t>
      </w:r>
    </w:p>
    <w:p w:rsidR="008A3376" w:rsidRDefault="00A97FD3">
      <w:pPr>
        <w:numPr>
          <w:ilvl w:val="0"/>
          <w:numId w:val="5"/>
        </w:numPr>
        <w:spacing w:after="156" w:line="268" w:lineRule="auto"/>
        <w:ind w:right="43" w:hanging="257"/>
        <w:jc w:val="left"/>
      </w:pPr>
      <w:r>
        <w:rPr>
          <w:b/>
        </w:rPr>
        <w:t>False positives</w:t>
      </w:r>
      <w:r>
        <w:rPr>
          <w:b/>
        </w:rPr>
        <w:t xml:space="preserve"> are a real operational cost: </w:t>
      </w:r>
      <w:r>
        <w:t>Unsupervised clustering carries a materially higher false-positive rate, which is costly in an email product because legitimate mail being misclassified directly damages user trust.</w:t>
      </w:r>
      <w:r>
        <w:rPr>
          <w:sz w:val="22"/>
        </w:rPr>
        <w:t xml:space="preserve"> </w:t>
      </w:r>
    </w:p>
    <w:p w:rsidR="008A3376" w:rsidRDefault="00A97FD3">
      <w:pPr>
        <w:pStyle w:val="Heading2"/>
        <w:ind w:left="-5"/>
      </w:pPr>
      <w:r>
        <w:t>Critical Analysis and Recommendation</w:t>
      </w:r>
      <w:r>
        <w:rPr>
          <w:b w:val="0"/>
          <w:sz w:val="22"/>
        </w:rPr>
        <w:t xml:space="preserve"> </w:t>
      </w:r>
    </w:p>
    <w:p w:rsidR="008A3376" w:rsidRDefault="00A97FD3">
      <w:pPr>
        <w:spacing w:after="160"/>
        <w:ind w:left="-5" w:right="58"/>
      </w:pPr>
      <w:r>
        <w:t>Neither approach on its own is adequate for a production mail system at this scale. A purely supervised system leaves a persistent blind spot against emerging campaigns, while a purely unsupervised system produces too many false positives to be usable as t</w:t>
      </w:r>
      <w:r>
        <w:t>he primary filter for legitimate customers.</w:t>
      </w:r>
      <w:r>
        <w:rPr>
          <w:sz w:val="22"/>
        </w:rPr>
        <w:t xml:space="preserve"> </w:t>
      </w:r>
    </w:p>
    <w:p w:rsidR="008A3376" w:rsidRDefault="00A97FD3">
      <w:pPr>
        <w:ind w:left="-5" w:right="58"/>
      </w:pPr>
      <w:r>
        <w:rPr>
          <w:b/>
        </w:rPr>
        <w:t xml:space="preserve">Recommendation: </w:t>
      </w:r>
      <w:r>
        <w:t xml:space="preserve">deploy a hybrid pipeline in which a supervised classifier (e.g. </w:t>
      </w:r>
      <w:proofErr w:type="spellStart"/>
      <w:r>
        <w:t>gradientboosted</w:t>
      </w:r>
      <w:proofErr w:type="spellEnd"/>
      <w:r>
        <w:t xml:space="preserve"> trees on message and sender features) performs the primary filtering decision, backed by an unsupervised anomaly-de</w:t>
      </w:r>
      <w:r>
        <w:t xml:space="preserve">tection layer that flags statistically unusual traffic </w:t>
      </w:r>
      <w:r>
        <w:t>—</w:t>
      </w:r>
      <w:r>
        <w:t xml:space="preserve"> new sending domains, sudden volume spikes, atypical structure </w:t>
      </w:r>
      <w:r>
        <w:t>—</w:t>
      </w:r>
      <w:r>
        <w:t xml:space="preserve"> for closer scrutiny or for expedited manual labelling. This mirrors the architecture used by major mail providers and gives both high a</w:t>
      </w:r>
      <w:r>
        <w:t>ccuracy on known spam and faster adaptation to new campaigns.</w:t>
      </w:r>
      <w:r>
        <w:rPr>
          <w:sz w:val="22"/>
        </w:rPr>
        <w:t xml:space="preserve"> </w:t>
      </w:r>
    </w:p>
    <w:p w:rsidR="008A3376" w:rsidRDefault="00A97FD3">
      <w:pPr>
        <w:pStyle w:val="Heading1"/>
        <w:ind w:left="-5"/>
      </w:pPr>
      <w:r>
        <w:t xml:space="preserve">Question 5 </w:t>
      </w:r>
      <w:r>
        <w:t>—</w:t>
      </w:r>
      <w:r>
        <w:t xml:space="preserve"> AES vs RSA in a Secure Communication Framework</w:t>
      </w:r>
      <w:r>
        <w:rPr>
          <w:b w:val="0"/>
          <w:color w:val="000000"/>
          <w:sz w:val="22"/>
        </w:rPr>
        <w:t xml:space="preserve"> </w:t>
      </w:r>
    </w:p>
    <w:p w:rsidR="008A3376" w:rsidRDefault="00A97FD3">
      <w:pPr>
        <w:spacing w:after="215" w:line="259" w:lineRule="auto"/>
        <w:ind w:left="-29" w:right="0" w:firstLine="0"/>
        <w:jc w:val="left"/>
      </w:pPr>
      <w:r>
        <w:rPr>
          <w:rFonts w:ascii="Calibri" w:eastAsia="Calibri" w:hAnsi="Calibri" w:cs="Calibri"/>
          <w:noProof/>
          <w:sz w:val="22"/>
        </w:rPr>
        <mc:AlternateContent>
          <mc:Choice Requires="wpg">
            <w:drawing>
              <wp:inline distT="0" distB="0" distL="0" distR="0">
                <wp:extent cx="6054598" cy="12192"/>
                <wp:effectExtent l="0" t="0" r="0" b="0"/>
                <wp:docPr id="20429" name="Group 20429"/>
                <wp:cNvGraphicFramePr/>
                <a:graphic xmlns:a="http://schemas.openxmlformats.org/drawingml/2006/main">
                  <a:graphicData uri="http://schemas.microsoft.com/office/word/2010/wordprocessingGroup">
                    <wpg:wgp>
                      <wpg:cNvGrpSpPr/>
                      <wpg:grpSpPr>
                        <a:xfrm>
                          <a:off x="0" y="0"/>
                          <a:ext cx="6054598" cy="12192"/>
                          <a:chOff x="0" y="0"/>
                          <a:chExt cx="6054598" cy="12192"/>
                        </a:xfrm>
                      </wpg:grpSpPr>
                      <wps:wsp>
                        <wps:cNvPr id="21322" name="Shape 21322"/>
                        <wps:cNvSpPr/>
                        <wps:spPr>
                          <a:xfrm>
                            <a:off x="0" y="0"/>
                            <a:ext cx="6054598" cy="12192"/>
                          </a:xfrm>
                          <a:custGeom>
                            <a:avLst/>
                            <a:gdLst/>
                            <a:ahLst/>
                            <a:cxnLst/>
                            <a:rect l="0" t="0" r="0" b="0"/>
                            <a:pathLst>
                              <a:path w="6054598" h="12192">
                                <a:moveTo>
                                  <a:pt x="0" y="0"/>
                                </a:moveTo>
                                <a:lnTo>
                                  <a:pt x="6054598" y="0"/>
                                </a:lnTo>
                                <a:lnTo>
                                  <a:pt x="6054598" y="12192"/>
                                </a:lnTo>
                                <a:lnTo>
                                  <a:pt x="0" y="12192"/>
                                </a:lnTo>
                                <a:lnTo>
                                  <a:pt x="0" y="0"/>
                                </a:lnTo>
                              </a:path>
                            </a:pathLst>
                          </a:custGeom>
                          <a:ln w="0" cap="flat">
                            <a:miter lim="127000"/>
                          </a:ln>
                        </wps:spPr>
                        <wps:style>
                          <a:lnRef idx="0">
                            <a:srgbClr val="000000">
                              <a:alpha val="0"/>
                            </a:srgbClr>
                          </a:lnRef>
                          <a:fillRef idx="1">
                            <a:srgbClr val="1F3B57"/>
                          </a:fillRef>
                          <a:effectRef idx="0">
                            <a:scrgbClr r="0" g="0" b="0"/>
                          </a:effectRef>
                          <a:fontRef idx="none"/>
                        </wps:style>
                        <wps:bodyPr/>
                      </wps:wsp>
                    </wpg:wgp>
                  </a:graphicData>
                </a:graphic>
              </wp:inline>
            </w:drawing>
          </mc:Choice>
          <mc:Fallback xmlns:a="http://schemas.openxmlformats.org/drawingml/2006/main">
            <w:pict>
              <v:group id="Group 20429" style="width:476.74pt;height:0.959961pt;mso-position-horizontal-relative:char;mso-position-vertical-relative:line" coordsize="60545,121">
                <v:shape id="Shape 21323" style="position:absolute;width:60545;height:121;left:0;top:0;" coordsize="6054598,12192" path="m0,0l6054598,0l6054598,12192l0,12192l0,0">
                  <v:stroke weight="0pt" endcap="flat" joinstyle="miter" miterlimit="10" on="false" color="#000000" opacity="0"/>
                  <v:fill on="true" color="#1f3b57"/>
                </v:shape>
              </v:group>
            </w:pict>
          </mc:Fallback>
        </mc:AlternateContent>
      </w:r>
    </w:p>
    <w:p w:rsidR="008A3376" w:rsidRDefault="00A97FD3">
      <w:pPr>
        <w:pStyle w:val="Heading2"/>
        <w:ind w:left="-5"/>
      </w:pPr>
      <w:r>
        <w:t>Scenario</w:t>
      </w:r>
      <w:r>
        <w:rPr>
          <w:b w:val="0"/>
          <w:sz w:val="22"/>
        </w:rPr>
        <w:t xml:space="preserve"> </w:t>
      </w:r>
    </w:p>
    <w:p w:rsidR="008A3376" w:rsidRDefault="00A97FD3">
      <w:pPr>
        <w:spacing w:after="144"/>
        <w:ind w:left="-5" w:right="58"/>
      </w:pPr>
      <w:r>
        <w:t xml:space="preserve">A software-as-a-service company is designing the cryptographic core of a new </w:t>
      </w:r>
      <w:proofErr w:type="spellStart"/>
      <w:r>
        <w:t>client</w:t>
      </w:r>
      <w:r>
        <w:t>server</w:t>
      </w:r>
      <w:proofErr w:type="spellEnd"/>
      <w:r>
        <w:t xml:space="preserve"> application that must (a) establish trust between a client and server that have never communicated before, and (b) then exchange potentially large volumes of application data with minimal latency. The design team must decide the respective roles of </w:t>
      </w:r>
      <w:r>
        <w:t>AES (symmetric) and RSA (asymmetric) encryption in this framework.</w:t>
      </w:r>
      <w:r>
        <w:rPr>
          <w:sz w:val="22"/>
        </w:rPr>
        <w:t xml:space="preserve"> </w:t>
      </w:r>
    </w:p>
    <w:p w:rsidR="008A3376" w:rsidRDefault="00A97FD3">
      <w:pPr>
        <w:pStyle w:val="Heading3"/>
        <w:ind w:left="-5"/>
      </w:pPr>
      <w:r>
        <w:t xml:space="preserve">Table 5.1 </w:t>
      </w:r>
      <w:r>
        <w:t>—</w:t>
      </w:r>
      <w:r>
        <w:t xml:space="preserve"> AES and RSA compared for confidentiality and efficiency</w:t>
      </w:r>
      <w:r>
        <w:rPr>
          <w:b w:val="0"/>
          <w:i w:val="0"/>
        </w:rPr>
        <w:t xml:space="preserve"> </w:t>
      </w:r>
    </w:p>
    <w:tbl>
      <w:tblPr>
        <w:tblStyle w:val="TableGrid"/>
        <w:tblW w:w="8503" w:type="dxa"/>
        <w:tblInd w:w="486" w:type="dxa"/>
        <w:tblCellMar>
          <w:top w:w="48" w:type="dxa"/>
          <w:left w:w="107" w:type="dxa"/>
          <w:bottom w:w="0" w:type="dxa"/>
          <w:right w:w="60" w:type="dxa"/>
        </w:tblCellMar>
        <w:tblLook w:val="04A0" w:firstRow="1" w:lastRow="0" w:firstColumn="1" w:lastColumn="0" w:noHBand="0" w:noVBand="1"/>
      </w:tblPr>
      <w:tblGrid>
        <w:gridCol w:w="1929"/>
        <w:gridCol w:w="3288"/>
        <w:gridCol w:w="3286"/>
      </w:tblGrid>
      <w:tr w:rsidR="008A3376">
        <w:trPr>
          <w:trHeight w:val="298"/>
        </w:trPr>
        <w:tc>
          <w:tcPr>
            <w:tcW w:w="1929"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52" w:firstLine="0"/>
              <w:jc w:val="center"/>
            </w:pPr>
            <w:r>
              <w:rPr>
                <w:b/>
                <w:color w:val="FFFFFF"/>
                <w:sz w:val="22"/>
              </w:rPr>
              <w:t>Parameter</w:t>
            </w:r>
            <w:r>
              <w:rPr>
                <w:color w:val="FFFFFF"/>
                <w:sz w:val="22"/>
              </w:rPr>
              <w:t xml:space="preserve"> </w:t>
            </w:r>
          </w:p>
        </w:tc>
        <w:tc>
          <w:tcPr>
            <w:tcW w:w="3288"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44" w:firstLine="0"/>
              <w:jc w:val="center"/>
            </w:pPr>
            <w:r>
              <w:rPr>
                <w:b/>
                <w:color w:val="FFFFFF"/>
                <w:sz w:val="22"/>
              </w:rPr>
              <w:t>AES</w:t>
            </w:r>
            <w:r>
              <w:rPr>
                <w:color w:val="FFFFFF"/>
                <w:sz w:val="22"/>
              </w:rPr>
              <w:t xml:space="preserve"> </w:t>
            </w:r>
          </w:p>
        </w:tc>
        <w:tc>
          <w:tcPr>
            <w:tcW w:w="3286" w:type="dxa"/>
            <w:tcBorders>
              <w:top w:val="single" w:sz="4" w:space="0" w:color="A6A6A6"/>
              <w:left w:val="single" w:sz="4" w:space="0" w:color="A6A6A6"/>
              <w:bottom w:val="single" w:sz="4" w:space="0" w:color="A6A6A6"/>
              <w:right w:val="single" w:sz="4" w:space="0" w:color="A6A6A6"/>
            </w:tcBorders>
            <w:shd w:val="clear" w:color="auto" w:fill="1F3B57"/>
          </w:tcPr>
          <w:p w:rsidR="008A3376" w:rsidRDefault="00A97FD3">
            <w:pPr>
              <w:spacing w:after="0" w:line="259" w:lineRule="auto"/>
              <w:ind w:left="0" w:right="45" w:firstLine="0"/>
              <w:jc w:val="center"/>
            </w:pPr>
            <w:r>
              <w:rPr>
                <w:b/>
                <w:color w:val="FFFFFF"/>
                <w:sz w:val="22"/>
              </w:rPr>
              <w:t>RSA</w:t>
            </w:r>
            <w:r>
              <w:rPr>
                <w:color w:val="FFFFFF"/>
                <w:sz w:val="22"/>
              </w:rPr>
              <w:t xml:space="preserve"> </w:t>
            </w:r>
          </w:p>
        </w:tc>
      </w:tr>
      <w:tr w:rsidR="008A3376">
        <w:trPr>
          <w:trHeight w:val="608"/>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Algorithm type</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Symmetric-key block cipher</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Asymmetric-key (public-key) cryptosystem</w:t>
            </w:r>
            <w:r>
              <w:rPr>
                <w:sz w:val="22"/>
              </w:rPr>
              <w:t xml:space="preserve"> </w:t>
            </w:r>
          </w:p>
        </w:tc>
      </w:tr>
      <w:tr w:rsidR="008A3376">
        <w:trPr>
          <w:trHeight w:val="326"/>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Typical key size</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128 / 192 / 256-bit key</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2048 / 3072 / 4096-bit modulus</w:t>
            </w:r>
            <w:r>
              <w:rPr>
                <w:sz w:val="22"/>
              </w:rPr>
              <w:t xml:space="preserve"> </w:t>
            </w:r>
          </w:p>
        </w:tc>
      </w:tr>
      <w:tr w:rsidR="008A3376">
        <w:trPr>
          <w:trHeight w:val="607"/>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Relative speed</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Very fast; suited to hardware acceleration (AES-NI)</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Orders of magnitude slower for equivalent data volumes</w:t>
            </w:r>
            <w:r>
              <w:rPr>
                <w:sz w:val="22"/>
              </w:rPr>
              <w:t xml:space="preserve"> </w:t>
            </w:r>
          </w:p>
        </w:tc>
      </w:tr>
      <w:tr w:rsidR="008A3376">
        <w:trPr>
          <w:trHeight w:val="881"/>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Key distribution problem</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Both parties must already share the same secret key</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No pre-shared secret needed; public key can be openly distributed</w:t>
            </w:r>
            <w:r>
              <w:rPr>
                <w:sz w:val="22"/>
              </w:rPr>
              <w:t xml:space="preserve"> </w:t>
            </w:r>
          </w:p>
        </w:tc>
      </w:tr>
      <w:tr w:rsidR="008A3376">
        <w:trPr>
          <w:trHeight w:val="884"/>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lastRenderedPageBreak/>
              <w:t>Primary role in a protocol</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Bulk encryption of the actual application data</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Secure exchange of the AES session key, and digital signatures</w:t>
            </w:r>
            <w:r>
              <w:rPr>
                <w:sz w:val="22"/>
              </w:rPr>
              <w:t xml:space="preserve"> </w:t>
            </w:r>
          </w:p>
        </w:tc>
      </w:tr>
      <w:tr w:rsidR="008A3376">
        <w:trPr>
          <w:trHeight w:val="883"/>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Confidentiality for large data</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Efficient and practical for large payloads</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Impractical for large payloads; encrypted block size is limited by key size</w:t>
            </w:r>
            <w:r>
              <w:rPr>
                <w:sz w:val="22"/>
              </w:rPr>
              <w:t xml:space="preserve"> </w:t>
            </w:r>
          </w:p>
        </w:tc>
      </w:tr>
      <w:tr w:rsidR="008A3376">
        <w:trPr>
          <w:trHeight w:val="883"/>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Scalability across many users</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Needs a distinct shared key per pair, or a distribution mechanism</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1" w:right="0" w:firstLine="0"/>
              <w:jc w:val="left"/>
            </w:pPr>
            <w:r>
              <w:rPr>
                <w:sz w:val="21"/>
              </w:rPr>
              <w:t xml:space="preserve">Scales naturally </w:t>
            </w:r>
            <w:r>
              <w:rPr>
                <w:sz w:val="21"/>
              </w:rPr>
              <w:t>—</w:t>
            </w:r>
            <w:r>
              <w:rPr>
                <w:sz w:val="21"/>
              </w:rPr>
              <w:t xml:space="preserve"> each party only needs one key pair and a certificate</w:t>
            </w:r>
            <w:r>
              <w:rPr>
                <w:sz w:val="22"/>
              </w:rPr>
              <w:t xml:space="preserve"> </w:t>
            </w:r>
          </w:p>
        </w:tc>
      </w:tr>
      <w:tr w:rsidR="008A3376">
        <w:trPr>
          <w:trHeight w:val="607"/>
        </w:trPr>
        <w:tc>
          <w:tcPr>
            <w:tcW w:w="1929" w:type="dxa"/>
            <w:tcBorders>
              <w:top w:val="single" w:sz="4" w:space="0" w:color="A6A6A6"/>
              <w:left w:val="single" w:sz="4" w:space="0" w:color="A6A6A6"/>
              <w:bottom w:val="single" w:sz="4" w:space="0" w:color="A6A6A6"/>
              <w:right w:val="single" w:sz="4" w:space="0" w:color="A6A6A6"/>
            </w:tcBorders>
          </w:tcPr>
          <w:p w:rsidR="008A3376" w:rsidRDefault="00A97FD3">
            <w:pPr>
              <w:spacing w:after="0" w:line="259" w:lineRule="auto"/>
              <w:ind w:left="0" w:right="0" w:firstLine="0"/>
              <w:jc w:val="left"/>
            </w:pPr>
            <w:r>
              <w:rPr>
                <w:sz w:val="21"/>
              </w:rPr>
              <w:t>Governing standard</w:t>
            </w:r>
            <w:r>
              <w:rPr>
                <w:sz w:val="22"/>
              </w:rPr>
              <w:t xml:space="preserve"> </w:t>
            </w:r>
          </w:p>
        </w:tc>
        <w:tc>
          <w:tcPr>
            <w:tcW w:w="3288" w:type="dxa"/>
            <w:tcBorders>
              <w:top w:val="single" w:sz="4" w:space="0" w:color="A6A6A6"/>
              <w:left w:val="single" w:sz="4" w:space="0" w:color="A6A6A6"/>
              <w:bottom w:val="single" w:sz="4" w:space="0" w:color="A6A6A6"/>
              <w:right w:val="single" w:sz="4" w:space="0" w:color="A6A6A6"/>
            </w:tcBorders>
          </w:tcPr>
          <w:p w:rsidR="008A3376" w:rsidRDefault="00A97FD3">
            <w:pPr>
              <w:spacing w:after="20" w:line="259" w:lineRule="auto"/>
              <w:ind w:left="1" w:right="0" w:firstLine="0"/>
              <w:jc w:val="left"/>
            </w:pPr>
            <w:r>
              <w:rPr>
                <w:sz w:val="21"/>
              </w:rPr>
              <w:t xml:space="preserve">FIPS 197 (Advanced Encryption </w:t>
            </w:r>
          </w:p>
          <w:p w:rsidR="008A3376" w:rsidRDefault="00A97FD3">
            <w:pPr>
              <w:spacing w:after="0" w:line="259" w:lineRule="auto"/>
              <w:ind w:left="1" w:right="0" w:firstLine="0"/>
              <w:jc w:val="left"/>
            </w:pPr>
            <w:r>
              <w:rPr>
                <w:sz w:val="21"/>
              </w:rPr>
              <w:t>Standard)</w:t>
            </w:r>
            <w:r>
              <w:rPr>
                <w:sz w:val="22"/>
              </w:rPr>
              <w:t xml:space="preserve"> </w:t>
            </w:r>
          </w:p>
        </w:tc>
        <w:tc>
          <w:tcPr>
            <w:tcW w:w="3286" w:type="dxa"/>
            <w:tcBorders>
              <w:top w:val="single" w:sz="4" w:space="0" w:color="A6A6A6"/>
              <w:left w:val="single" w:sz="4" w:space="0" w:color="A6A6A6"/>
              <w:bottom w:val="single" w:sz="4" w:space="0" w:color="A6A6A6"/>
              <w:right w:val="single" w:sz="4" w:space="0" w:color="A6A6A6"/>
            </w:tcBorders>
          </w:tcPr>
          <w:p w:rsidR="008A3376" w:rsidRDefault="00A97FD3">
            <w:pPr>
              <w:spacing w:after="20" w:line="259" w:lineRule="auto"/>
              <w:ind w:left="1" w:right="0" w:firstLine="0"/>
              <w:jc w:val="left"/>
            </w:pPr>
            <w:r>
              <w:rPr>
                <w:sz w:val="21"/>
              </w:rPr>
              <w:t xml:space="preserve">RFC 3447 / PKCS#1 (RSA </w:t>
            </w:r>
          </w:p>
          <w:p w:rsidR="008A3376" w:rsidRDefault="00A97FD3">
            <w:pPr>
              <w:spacing w:after="0" w:line="259" w:lineRule="auto"/>
              <w:ind w:left="1" w:right="0" w:firstLine="0"/>
              <w:jc w:val="left"/>
            </w:pPr>
            <w:r>
              <w:rPr>
                <w:sz w:val="21"/>
              </w:rPr>
              <w:t>Cryptography)</w:t>
            </w:r>
            <w:r>
              <w:rPr>
                <w:sz w:val="22"/>
              </w:rPr>
              <w:t xml:space="preserve"> </w:t>
            </w:r>
          </w:p>
        </w:tc>
      </w:tr>
    </w:tbl>
    <w:p w:rsidR="008A3376" w:rsidRDefault="00A97FD3">
      <w:pPr>
        <w:spacing w:after="197" w:line="259" w:lineRule="auto"/>
        <w:ind w:left="0" w:right="0" w:firstLine="0"/>
        <w:jc w:val="left"/>
      </w:pPr>
      <w:r>
        <w:rPr>
          <w:sz w:val="22"/>
        </w:rPr>
        <w:t xml:space="preserve"> </w:t>
      </w:r>
    </w:p>
    <w:p w:rsidR="008A3376" w:rsidRDefault="00A97FD3">
      <w:pPr>
        <w:pStyle w:val="Heading2"/>
        <w:ind w:left="-5"/>
      </w:pPr>
      <w:r>
        <w:t>Key Observations</w:t>
      </w:r>
      <w:r>
        <w:rPr>
          <w:b w:val="0"/>
          <w:sz w:val="22"/>
        </w:rPr>
        <w:t xml:space="preserve"> </w:t>
      </w:r>
    </w:p>
    <w:p w:rsidR="008A3376" w:rsidRDefault="00A97FD3">
      <w:pPr>
        <w:numPr>
          <w:ilvl w:val="0"/>
          <w:numId w:val="6"/>
        </w:numPr>
        <w:spacing w:after="76" w:line="268" w:lineRule="auto"/>
        <w:ind w:right="43" w:hanging="257"/>
        <w:jc w:val="left"/>
      </w:pPr>
      <w:r>
        <w:rPr>
          <w:b/>
        </w:rPr>
        <w:t xml:space="preserve">AES is efficient for bulk confidentiality: </w:t>
      </w:r>
      <w:r>
        <w:t>AES-256 encrypts large payloads with negligible CPU overhead, whereas encrypting the same payload directly with RSA would be both mathematically impractical (RSA can only encrypt data smaller tha</w:t>
      </w:r>
      <w:r>
        <w:t>n its modulus) and far slower.</w:t>
      </w:r>
      <w:r>
        <w:rPr>
          <w:sz w:val="22"/>
        </w:rPr>
        <w:t xml:space="preserve"> </w:t>
      </w:r>
    </w:p>
    <w:p w:rsidR="008A3376" w:rsidRDefault="00A97FD3">
      <w:pPr>
        <w:numPr>
          <w:ilvl w:val="0"/>
          <w:numId w:val="6"/>
        </w:numPr>
        <w:spacing w:after="76" w:line="268" w:lineRule="auto"/>
        <w:ind w:right="43" w:hanging="257"/>
        <w:jc w:val="left"/>
      </w:pPr>
      <w:r>
        <w:rPr>
          <w:b/>
        </w:rPr>
        <w:t xml:space="preserve">RSA is efficient for trust establishment: </w:t>
      </w:r>
      <w:r>
        <w:t xml:space="preserve">RSA lets the client and server agree on a shared AES session key without ever having communicated before, solving the </w:t>
      </w:r>
      <w:proofErr w:type="spellStart"/>
      <w:r>
        <w:t>keydistribution</w:t>
      </w:r>
      <w:proofErr w:type="spellEnd"/>
      <w:r>
        <w:t xml:space="preserve"> problem that AES cannot solve on its own.</w:t>
      </w:r>
      <w:r>
        <w:rPr>
          <w:sz w:val="22"/>
        </w:rPr>
        <w:t xml:space="preserve"> </w:t>
      </w:r>
    </w:p>
    <w:p w:rsidR="008A3376" w:rsidRDefault="00A97FD3">
      <w:pPr>
        <w:numPr>
          <w:ilvl w:val="0"/>
          <w:numId w:val="6"/>
        </w:numPr>
        <w:spacing w:after="76" w:line="268" w:lineRule="auto"/>
        <w:ind w:right="43" w:hanging="257"/>
        <w:jc w:val="left"/>
      </w:pPr>
      <w:r>
        <w:rPr>
          <w:b/>
        </w:rPr>
        <w:t xml:space="preserve">The two algorithms solve different, complementary problems: </w:t>
      </w:r>
      <w:r>
        <w:t xml:space="preserve">On its own, AES cannot bootstrap trust between two strangers, and RSA on its own is too slow to be used for ongoing bulk data transfer </w:t>
      </w:r>
      <w:r>
        <w:t>—</w:t>
      </w:r>
      <w:r>
        <w:t xml:space="preserve"> each algorithm covers a gap the other leaves open.</w:t>
      </w:r>
      <w:r>
        <w:rPr>
          <w:sz w:val="22"/>
        </w:rPr>
        <w:t xml:space="preserve"> </w:t>
      </w:r>
    </w:p>
    <w:p w:rsidR="008A3376" w:rsidRDefault="00A97FD3">
      <w:pPr>
        <w:numPr>
          <w:ilvl w:val="0"/>
          <w:numId w:val="6"/>
        </w:numPr>
        <w:spacing w:after="156" w:line="268" w:lineRule="auto"/>
        <w:ind w:right="43" w:hanging="257"/>
        <w:jc w:val="left"/>
      </w:pPr>
      <w:r>
        <w:rPr>
          <w:b/>
        </w:rPr>
        <w:t xml:space="preserve">Real protocols already combine both: </w:t>
      </w:r>
      <w:r>
        <w:t>This is precisely the hybrid model used by TLS: RSA/ECDHE is used only briefly during the handshake, after which all subsequent traffic switches to AES.</w:t>
      </w:r>
      <w:r>
        <w:rPr>
          <w:sz w:val="22"/>
        </w:rPr>
        <w:t xml:space="preserve"> </w:t>
      </w:r>
    </w:p>
    <w:p w:rsidR="008A3376" w:rsidRDefault="00A97FD3">
      <w:pPr>
        <w:pStyle w:val="Heading2"/>
        <w:ind w:left="-5"/>
      </w:pPr>
      <w:r>
        <w:t>Critical Analysis and Recommendation</w:t>
      </w:r>
      <w:r>
        <w:rPr>
          <w:b w:val="0"/>
          <w:sz w:val="22"/>
        </w:rPr>
        <w:t xml:space="preserve"> </w:t>
      </w:r>
    </w:p>
    <w:p w:rsidR="008A3376" w:rsidRDefault="00A97FD3">
      <w:pPr>
        <w:spacing w:after="161"/>
        <w:ind w:left="-5" w:right="58"/>
      </w:pPr>
      <w:r>
        <w:t>Treating AES and RSA as com</w:t>
      </w:r>
      <w:r>
        <w:t>petitors is the wrong framing for this scenario; the framework needs both, applied to different stages of the same session. RSA is well suited to the handshake, where trust must be established between two parties with no prior relationship and where the am</w:t>
      </w:r>
      <w:r>
        <w:t>ount of data exchanged (a session key, a few kilobytes at most) is small. AES is well suited to everything that follows, where the volume of data can be large and low latency matters.</w:t>
      </w:r>
      <w:r>
        <w:rPr>
          <w:sz w:val="22"/>
        </w:rPr>
        <w:t xml:space="preserve"> </w:t>
      </w:r>
    </w:p>
    <w:p w:rsidR="008A3376" w:rsidRDefault="00A97FD3">
      <w:pPr>
        <w:ind w:left="-5" w:right="58"/>
      </w:pPr>
      <w:r>
        <w:rPr>
          <w:b/>
        </w:rPr>
        <w:t xml:space="preserve">Recommendation: </w:t>
      </w:r>
      <w:r>
        <w:t xml:space="preserve">adopt a hybrid cryptosystem </w:t>
      </w:r>
      <w:r>
        <w:t>—</w:t>
      </w:r>
      <w:r>
        <w:t xml:space="preserve"> RSA-2048 (or an ECDHE key</w:t>
      </w:r>
      <w:r>
        <w:t xml:space="preserve"> exchange, which is faster still) for the initial handshake and session-key exchange, followed by AES-256 in GCM mode for all subsequent application data. This mirrors the design of TLS 1.3 itself and achieves both strong confidentiality and practical effi</w:t>
      </w:r>
      <w:r>
        <w:t>ciency at scale.</w:t>
      </w:r>
      <w:r>
        <w:rPr>
          <w:sz w:val="22"/>
        </w:rPr>
        <w:t xml:space="preserve"> </w:t>
      </w:r>
    </w:p>
    <w:p w:rsidR="008A3376" w:rsidRDefault="00A97FD3">
      <w:pPr>
        <w:pStyle w:val="Heading1"/>
        <w:ind w:left="-5"/>
      </w:pPr>
      <w:r>
        <w:lastRenderedPageBreak/>
        <w:t>References</w:t>
      </w:r>
      <w:r>
        <w:rPr>
          <w:b w:val="0"/>
          <w:color w:val="000000"/>
          <w:sz w:val="22"/>
        </w:rPr>
        <w:t xml:space="preserve"> </w:t>
      </w:r>
    </w:p>
    <w:p w:rsidR="008A3376" w:rsidRDefault="00A97FD3">
      <w:pPr>
        <w:spacing w:after="173" w:line="259" w:lineRule="auto"/>
        <w:ind w:left="-29" w:right="0" w:firstLine="0"/>
        <w:jc w:val="left"/>
      </w:pPr>
      <w:r>
        <w:rPr>
          <w:rFonts w:ascii="Calibri" w:eastAsia="Calibri" w:hAnsi="Calibri" w:cs="Calibri"/>
          <w:noProof/>
          <w:sz w:val="22"/>
        </w:rPr>
        <mc:AlternateContent>
          <mc:Choice Requires="wpg">
            <w:drawing>
              <wp:inline distT="0" distB="0" distL="0" distR="0">
                <wp:extent cx="6054598" cy="12192"/>
                <wp:effectExtent l="0" t="0" r="0" b="0"/>
                <wp:docPr id="18448" name="Group 18448"/>
                <wp:cNvGraphicFramePr/>
                <a:graphic xmlns:a="http://schemas.openxmlformats.org/drawingml/2006/main">
                  <a:graphicData uri="http://schemas.microsoft.com/office/word/2010/wordprocessingGroup">
                    <wpg:wgp>
                      <wpg:cNvGrpSpPr/>
                      <wpg:grpSpPr>
                        <a:xfrm>
                          <a:off x="0" y="0"/>
                          <a:ext cx="6054598" cy="12192"/>
                          <a:chOff x="0" y="0"/>
                          <a:chExt cx="6054598" cy="12192"/>
                        </a:xfrm>
                      </wpg:grpSpPr>
                      <wps:wsp>
                        <wps:cNvPr id="21324" name="Shape 21324"/>
                        <wps:cNvSpPr/>
                        <wps:spPr>
                          <a:xfrm>
                            <a:off x="0" y="0"/>
                            <a:ext cx="6054598" cy="12192"/>
                          </a:xfrm>
                          <a:custGeom>
                            <a:avLst/>
                            <a:gdLst/>
                            <a:ahLst/>
                            <a:cxnLst/>
                            <a:rect l="0" t="0" r="0" b="0"/>
                            <a:pathLst>
                              <a:path w="6054598" h="12192">
                                <a:moveTo>
                                  <a:pt x="0" y="0"/>
                                </a:moveTo>
                                <a:lnTo>
                                  <a:pt x="6054598" y="0"/>
                                </a:lnTo>
                                <a:lnTo>
                                  <a:pt x="6054598" y="12192"/>
                                </a:lnTo>
                                <a:lnTo>
                                  <a:pt x="0" y="12192"/>
                                </a:lnTo>
                                <a:lnTo>
                                  <a:pt x="0" y="0"/>
                                </a:lnTo>
                              </a:path>
                            </a:pathLst>
                          </a:custGeom>
                          <a:ln w="0" cap="flat">
                            <a:miter lim="127000"/>
                          </a:ln>
                        </wps:spPr>
                        <wps:style>
                          <a:lnRef idx="0">
                            <a:srgbClr val="000000">
                              <a:alpha val="0"/>
                            </a:srgbClr>
                          </a:lnRef>
                          <a:fillRef idx="1">
                            <a:srgbClr val="1F3B57"/>
                          </a:fillRef>
                          <a:effectRef idx="0">
                            <a:scrgbClr r="0" g="0" b="0"/>
                          </a:effectRef>
                          <a:fontRef idx="none"/>
                        </wps:style>
                        <wps:bodyPr/>
                      </wps:wsp>
                    </wpg:wgp>
                  </a:graphicData>
                </a:graphic>
              </wp:inline>
            </w:drawing>
          </mc:Choice>
          <mc:Fallback xmlns:a="http://schemas.openxmlformats.org/drawingml/2006/main">
            <w:pict>
              <v:group id="Group 18448" style="width:476.74pt;height:0.959961pt;mso-position-horizontal-relative:char;mso-position-vertical-relative:line" coordsize="60545,121">
                <v:shape id="Shape 21325" style="position:absolute;width:60545;height:121;left:0;top:0;" coordsize="6054598,12192" path="m0,0l6054598,0l6054598,12192l0,12192l0,0">
                  <v:stroke weight="0pt" endcap="flat" joinstyle="miter" miterlimit="10" on="false" color="#000000" opacity="0"/>
                  <v:fill on="true" color="#1f3b57"/>
                </v:shape>
              </v:group>
            </w:pict>
          </mc:Fallback>
        </mc:AlternateContent>
      </w:r>
    </w:p>
    <w:p w:rsidR="008A3376" w:rsidRDefault="00A97FD3">
      <w:pPr>
        <w:spacing w:after="52" w:line="268" w:lineRule="auto"/>
        <w:ind w:left="0" w:right="43" w:firstLine="0"/>
        <w:jc w:val="left"/>
      </w:pPr>
      <w:r>
        <w:t xml:space="preserve">IETF RFC 8446, </w:t>
      </w:r>
      <w:proofErr w:type="gramStart"/>
      <w:r>
        <w:t>The</w:t>
      </w:r>
      <w:proofErr w:type="gramEnd"/>
      <w:r>
        <w:t xml:space="preserve"> Transport Layer Security (TLS) Protocol Version 1.3, 2018.</w:t>
      </w:r>
      <w:r>
        <w:rPr>
          <w:sz w:val="22"/>
        </w:rPr>
        <w:t xml:space="preserve"> </w:t>
      </w:r>
    </w:p>
    <w:p w:rsidR="008A3376" w:rsidRDefault="00A97FD3">
      <w:pPr>
        <w:spacing w:after="51" w:line="268" w:lineRule="auto"/>
        <w:ind w:left="0" w:right="43" w:firstLine="0"/>
        <w:jc w:val="left"/>
      </w:pPr>
      <w:r>
        <w:t>IETF RFC 4301, Security Architecture for the Internet Protocol (IPsec), 2005.</w:t>
      </w:r>
      <w:r>
        <w:rPr>
          <w:sz w:val="22"/>
        </w:rPr>
        <w:t xml:space="preserve"> </w:t>
      </w:r>
    </w:p>
    <w:p w:rsidR="008A3376" w:rsidRDefault="00A97FD3">
      <w:pPr>
        <w:spacing w:after="51" w:line="268" w:lineRule="auto"/>
        <w:ind w:left="0" w:right="43" w:firstLine="0"/>
        <w:jc w:val="left"/>
      </w:pPr>
      <w:r>
        <w:t xml:space="preserve">IETF RFC 4880, </w:t>
      </w:r>
      <w:proofErr w:type="spellStart"/>
      <w:r>
        <w:t>OpenPGP</w:t>
      </w:r>
      <w:proofErr w:type="spellEnd"/>
      <w:r>
        <w:t xml:space="preserve"> Message Format, 2007.</w:t>
      </w:r>
      <w:r>
        <w:rPr>
          <w:sz w:val="22"/>
        </w:rPr>
        <w:t xml:space="preserve"> </w:t>
      </w:r>
    </w:p>
    <w:p w:rsidR="008A3376" w:rsidRDefault="00A97FD3">
      <w:pPr>
        <w:spacing w:after="49" w:line="268" w:lineRule="auto"/>
        <w:ind w:left="0" w:right="43" w:firstLine="0"/>
        <w:jc w:val="left"/>
      </w:pPr>
      <w:r>
        <w:t>IETF RFC 8551, Secure/Multipurpose Internet Mail Extensions (S/MIME) Version 4.0, 2019.</w:t>
      </w:r>
      <w:r>
        <w:rPr>
          <w:sz w:val="22"/>
        </w:rPr>
        <w:t xml:space="preserve"> </w:t>
      </w:r>
    </w:p>
    <w:p w:rsidR="008A3376" w:rsidRDefault="00A97FD3">
      <w:pPr>
        <w:spacing w:after="51" w:line="268" w:lineRule="auto"/>
        <w:ind w:left="0" w:right="43" w:firstLine="0"/>
        <w:jc w:val="left"/>
      </w:pPr>
      <w:r>
        <w:t>IETF RFC 2104, HMAC: Keyed-Hashing for Message Authentication, 1997.</w:t>
      </w:r>
      <w:r>
        <w:rPr>
          <w:sz w:val="22"/>
        </w:rPr>
        <w:t xml:space="preserve"> </w:t>
      </w:r>
    </w:p>
    <w:p w:rsidR="008A3376" w:rsidRDefault="00A97FD3">
      <w:pPr>
        <w:spacing w:after="51" w:line="268" w:lineRule="auto"/>
        <w:ind w:left="0" w:right="43" w:firstLine="0"/>
        <w:jc w:val="left"/>
      </w:pPr>
      <w:r>
        <w:t>NIST FIPS 186-5, Digital Signature Standard (DSS), 2023.</w:t>
      </w:r>
      <w:r>
        <w:rPr>
          <w:sz w:val="22"/>
        </w:rPr>
        <w:t xml:space="preserve"> </w:t>
      </w:r>
    </w:p>
    <w:p w:rsidR="008A3376" w:rsidRDefault="00A97FD3">
      <w:pPr>
        <w:spacing w:after="51" w:line="268" w:lineRule="auto"/>
        <w:ind w:left="0" w:right="43" w:firstLine="0"/>
        <w:jc w:val="left"/>
      </w:pPr>
      <w:r>
        <w:t>NIST FIPS 197, Advanced Encryption Stan</w:t>
      </w:r>
      <w:r>
        <w:t>dard (AES), 2001.</w:t>
      </w:r>
      <w:r>
        <w:rPr>
          <w:sz w:val="22"/>
        </w:rPr>
        <w:t xml:space="preserve"> </w:t>
      </w:r>
    </w:p>
    <w:p w:rsidR="008A3376" w:rsidRDefault="00A97FD3">
      <w:pPr>
        <w:spacing w:after="209" w:line="268" w:lineRule="auto"/>
        <w:ind w:left="0" w:right="43" w:firstLine="0"/>
        <w:jc w:val="left"/>
      </w:pPr>
      <w:r>
        <w:t>IETF RFC 3447, PKCS #1: RSA Cryptography Specifications, 2003.</w:t>
      </w:r>
      <w:r>
        <w:rPr>
          <w:sz w:val="22"/>
        </w:rPr>
        <w:t xml:space="preserve"> </w:t>
      </w:r>
    </w:p>
    <w:p w:rsidR="008A3376" w:rsidRDefault="00A97FD3">
      <w:pPr>
        <w:spacing w:after="19" w:line="259" w:lineRule="auto"/>
        <w:ind w:left="-5" w:right="0"/>
        <w:jc w:val="left"/>
      </w:pPr>
      <w:r>
        <w:rPr>
          <w:b/>
        </w:rPr>
        <w:t xml:space="preserve">RUBRICS FOR CALCULATION: </w:t>
      </w:r>
    </w:p>
    <w:p w:rsidR="008A3376" w:rsidRDefault="00A97FD3">
      <w:pPr>
        <w:spacing w:after="0" w:line="259" w:lineRule="auto"/>
        <w:ind w:left="0" w:right="0" w:firstLine="0"/>
        <w:jc w:val="left"/>
      </w:pPr>
      <w:r>
        <w:t xml:space="preserve"> </w:t>
      </w:r>
    </w:p>
    <w:tbl>
      <w:tblPr>
        <w:tblStyle w:val="TableGrid"/>
        <w:tblW w:w="9907" w:type="dxa"/>
        <w:tblInd w:w="-110" w:type="dxa"/>
        <w:tblCellMar>
          <w:top w:w="0" w:type="dxa"/>
          <w:left w:w="115" w:type="dxa"/>
          <w:bottom w:w="6" w:type="dxa"/>
          <w:right w:w="74" w:type="dxa"/>
        </w:tblCellMar>
        <w:tblLook w:val="04A0" w:firstRow="1" w:lastRow="0" w:firstColumn="1" w:lastColumn="0" w:noHBand="0" w:noVBand="1"/>
      </w:tblPr>
      <w:tblGrid>
        <w:gridCol w:w="1340"/>
        <w:gridCol w:w="1229"/>
        <w:gridCol w:w="2268"/>
        <w:gridCol w:w="1985"/>
        <w:gridCol w:w="1702"/>
        <w:gridCol w:w="1383"/>
      </w:tblGrid>
      <w:tr w:rsidR="008A3376">
        <w:trPr>
          <w:trHeight w:val="535"/>
        </w:trPr>
        <w:tc>
          <w:tcPr>
            <w:tcW w:w="133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39" w:firstLine="0"/>
              <w:jc w:val="center"/>
            </w:pPr>
            <w:r>
              <w:rPr>
                <w:b/>
                <w:sz w:val="20"/>
              </w:rPr>
              <w:t xml:space="preserve">Criteria </w:t>
            </w:r>
          </w:p>
        </w:tc>
        <w:tc>
          <w:tcPr>
            <w:tcW w:w="122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35" w:firstLine="0"/>
              <w:jc w:val="center"/>
            </w:pPr>
            <w:proofErr w:type="spellStart"/>
            <w:r>
              <w:rPr>
                <w:b/>
                <w:sz w:val="20"/>
              </w:rPr>
              <w:t>Weightag</w:t>
            </w:r>
            <w:proofErr w:type="spellEnd"/>
            <w:r>
              <w:rPr>
                <w:b/>
                <w:sz w:val="20"/>
              </w:rPr>
              <w:t xml:space="preserve"> e (%) </w:t>
            </w:r>
          </w:p>
        </w:tc>
        <w:tc>
          <w:tcPr>
            <w:tcW w:w="2268"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41" w:firstLine="0"/>
              <w:jc w:val="center"/>
            </w:pPr>
            <w:r>
              <w:rPr>
                <w:b/>
                <w:sz w:val="20"/>
              </w:rPr>
              <w:t xml:space="preserve">Level 4 (Exemplary) </w:t>
            </w:r>
          </w:p>
        </w:tc>
        <w:tc>
          <w:tcPr>
            <w:tcW w:w="1985"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12" w:right="0" w:firstLine="0"/>
              <w:jc w:val="center"/>
            </w:pPr>
            <w:r>
              <w:rPr>
                <w:b/>
                <w:sz w:val="20"/>
              </w:rPr>
              <w:t xml:space="preserve">Level 3 (Proficient) </w:t>
            </w:r>
          </w:p>
        </w:tc>
        <w:tc>
          <w:tcPr>
            <w:tcW w:w="1702"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0" w:firstLine="0"/>
              <w:jc w:val="center"/>
            </w:pPr>
            <w:r>
              <w:rPr>
                <w:b/>
                <w:sz w:val="20"/>
              </w:rPr>
              <w:t xml:space="preserve">Level 2 (Developing) </w:t>
            </w:r>
          </w:p>
        </w:tc>
        <w:tc>
          <w:tcPr>
            <w:tcW w:w="1383"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0" w:firstLine="0"/>
              <w:jc w:val="center"/>
            </w:pPr>
            <w:r>
              <w:rPr>
                <w:b/>
                <w:sz w:val="20"/>
              </w:rPr>
              <w:t xml:space="preserve">Level 1 (Beginning) </w:t>
            </w:r>
          </w:p>
        </w:tc>
      </w:tr>
      <w:tr w:rsidR="008A3376">
        <w:trPr>
          <w:trHeight w:val="836"/>
        </w:trPr>
        <w:tc>
          <w:tcPr>
            <w:tcW w:w="133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0" w:firstLine="0"/>
              <w:jc w:val="left"/>
            </w:pPr>
            <w:r>
              <w:rPr>
                <w:sz w:val="20"/>
              </w:rPr>
              <w:t xml:space="preserve">Scope of Items </w:t>
            </w:r>
          </w:p>
        </w:tc>
        <w:tc>
          <w:tcPr>
            <w:tcW w:w="122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47" w:firstLine="0"/>
              <w:jc w:val="center"/>
            </w:pPr>
            <w:r>
              <w:rPr>
                <w:sz w:val="20"/>
              </w:rPr>
              <w:t xml:space="preserve">20% </w:t>
            </w:r>
          </w:p>
        </w:tc>
        <w:tc>
          <w:tcPr>
            <w:tcW w:w="2268"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0" w:firstLine="0"/>
              <w:jc w:val="left"/>
            </w:pPr>
            <w:r>
              <w:rPr>
                <w:sz w:val="20"/>
              </w:rPr>
              <w:t xml:space="preserve">Selects highly relevant items with clear scope and justification </w:t>
            </w:r>
          </w:p>
        </w:tc>
        <w:tc>
          <w:tcPr>
            <w:tcW w:w="1985"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0" w:firstLine="0"/>
              <w:jc w:val="left"/>
            </w:pPr>
            <w:r>
              <w:rPr>
                <w:sz w:val="20"/>
              </w:rPr>
              <w:t xml:space="preserve">Selects appropriate items with minor gaps </w:t>
            </w:r>
          </w:p>
        </w:tc>
        <w:tc>
          <w:tcPr>
            <w:tcW w:w="1702"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1" w:right="0" w:firstLine="0"/>
              <w:jc w:val="left"/>
            </w:pPr>
            <w:r>
              <w:rPr>
                <w:sz w:val="20"/>
              </w:rPr>
              <w:t xml:space="preserve">Selection is limited or partially relevant </w:t>
            </w:r>
          </w:p>
        </w:tc>
        <w:tc>
          <w:tcPr>
            <w:tcW w:w="1383"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0" w:firstLine="0"/>
              <w:jc w:val="left"/>
            </w:pPr>
            <w:r>
              <w:rPr>
                <w:sz w:val="20"/>
              </w:rPr>
              <w:t xml:space="preserve">Items are unclear or not relevant </w:t>
            </w:r>
          </w:p>
        </w:tc>
      </w:tr>
      <w:tr w:rsidR="008A3376">
        <w:trPr>
          <w:trHeight w:val="929"/>
        </w:trPr>
        <w:tc>
          <w:tcPr>
            <w:tcW w:w="133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0" w:firstLine="0"/>
              <w:jc w:val="left"/>
            </w:pPr>
            <w:r>
              <w:rPr>
                <w:sz w:val="20"/>
              </w:rPr>
              <w:t xml:space="preserve">Comparison Depth </w:t>
            </w:r>
          </w:p>
        </w:tc>
        <w:tc>
          <w:tcPr>
            <w:tcW w:w="122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47" w:firstLine="0"/>
              <w:jc w:val="center"/>
            </w:pPr>
            <w:r>
              <w:rPr>
                <w:sz w:val="20"/>
              </w:rPr>
              <w:t xml:space="preserve">25% </w:t>
            </w:r>
          </w:p>
        </w:tc>
        <w:tc>
          <w:tcPr>
            <w:tcW w:w="2268" w:type="dxa"/>
            <w:tcBorders>
              <w:top w:val="single" w:sz="4" w:space="0" w:color="000000"/>
              <w:left w:val="single" w:sz="4" w:space="0" w:color="000000"/>
              <w:bottom w:val="single" w:sz="4" w:space="0" w:color="000000"/>
              <w:right w:val="single" w:sz="4" w:space="0" w:color="000000"/>
            </w:tcBorders>
          </w:tcPr>
          <w:p w:rsidR="008A3376" w:rsidRDefault="00A97FD3">
            <w:pPr>
              <w:spacing w:after="0" w:line="259" w:lineRule="auto"/>
              <w:ind w:left="0" w:right="0" w:firstLine="0"/>
              <w:jc w:val="left"/>
            </w:pPr>
            <w:r>
              <w:rPr>
                <w:sz w:val="20"/>
              </w:rPr>
              <w:t xml:space="preserve">Provides detailed and comprehensive comparison across multiple aspects </w:t>
            </w:r>
          </w:p>
        </w:tc>
        <w:tc>
          <w:tcPr>
            <w:tcW w:w="1985"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0" w:firstLine="0"/>
              <w:jc w:val="left"/>
            </w:pPr>
            <w:r>
              <w:rPr>
                <w:sz w:val="20"/>
              </w:rPr>
              <w:t xml:space="preserve">Provides adequate comparison with some depth </w:t>
            </w:r>
          </w:p>
        </w:tc>
        <w:tc>
          <w:tcPr>
            <w:tcW w:w="1702"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1" w:right="0" w:firstLine="0"/>
              <w:jc w:val="left"/>
            </w:pPr>
            <w:r>
              <w:rPr>
                <w:sz w:val="20"/>
              </w:rPr>
              <w:t xml:space="preserve">Limited comparison with few aspects </w:t>
            </w:r>
          </w:p>
        </w:tc>
        <w:tc>
          <w:tcPr>
            <w:tcW w:w="1383" w:type="dxa"/>
            <w:tcBorders>
              <w:top w:val="single" w:sz="4" w:space="0" w:color="000000"/>
              <w:left w:val="single" w:sz="4" w:space="0" w:color="000000"/>
              <w:bottom w:val="single" w:sz="4" w:space="0" w:color="000000"/>
              <w:right w:val="single" w:sz="4" w:space="0" w:color="000000"/>
            </w:tcBorders>
          </w:tcPr>
          <w:p w:rsidR="008A3376" w:rsidRDefault="00A97FD3">
            <w:pPr>
              <w:spacing w:after="0" w:line="259" w:lineRule="auto"/>
              <w:ind w:left="0" w:right="40" w:firstLine="0"/>
              <w:jc w:val="left"/>
            </w:pPr>
            <w:r>
              <w:rPr>
                <w:sz w:val="20"/>
              </w:rPr>
              <w:t xml:space="preserve">Very minimal or no comparison </w:t>
            </w:r>
          </w:p>
        </w:tc>
      </w:tr>
      <w:tr w:rsidR="008A3376">
        <w:trPr>
          <w:trHeight w:val="931"/>
        </w:trPr>
        <w:tc>
          <w:tcPr>
            <w:tcW w:w="133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0" w:firstLine="0"/>
              <w:jc w:val="left"/>
            </w:pPr>
            <w:r>
              <w:rPr>
                <w:sz w:val="20"/>
              </w:rPr>
              <w:t xml:space="preserve">Use of </w:t>
            </w:r>
          </w:p>
          <w:p w:rsidR="008A3376" w:rsidRDefault="00A97FD3">
            <w:pPr>
              <w:spacing w:after="0" w:line="259" w:lineRule="auto"/>
              <w:ind w:left="0" w:right="0" w:firstLine="0"/>
              <w:jc w:val="left"/>
            </w:pPr>
            <w:r>
              <w:rPr>
                <w:sz w:val="20"/>
              </w:rPr>
              <w:t xml:space="preserve">Evidence </w:t>
            </w:r>
          </w:p>
        </w:tc>
        <w:tc>
          <w:tcPr>
            <w:tcW w:w="122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47" w:firstLine="0"/>
              <w:jc w:val="center"/>
            </w:pPr>
            <w:r>
              <w:rPr>
                <w:sz w:val="20"/>
              </w:rPr>
              <w:t xml:space="preserve">20% </w:t>
            </w:r>
          </w:p>
        </w:tc>
        <w:tc>
          <w:tcPr>
            <w:tcW w:w="2268" w:type="dxa"/>
            <w:tcBorders>
              <w:top w:val="single" w:sz="4" w:space="0" w:color="000000"/>
              <w:left w:val="single" w:sz="4" w:space="0" w:color="000000"/>
              <w:bottom w:val="single" w:sz="4" w:space="0" w:color="000000"/>
              <w:right w:val="single" w:sz="4" w:space="0" w:color="000000"/>
            </w:tcBorders>
          </w:tcPr>
          <w:p w:rsidR="008A3376" w:rsidRDefault="00A97FD3">
            <w:pPr>
              <w:spacing w:after="0" w:line="259" w:lineRule="auto"/>
              <w:ind w:left="0" w:right="0" w:firstLine="0"/>
              <w:jc w:val="left"/>
            </w:pPr>
            <w:r>
              <w:rPr>
                <w:sz w:val="20"/>
              </w:rPr>
              <w:t xml:space="preserve">Supports comparison with accurate data, examples, or references </w:t>
            </w:r>
          </w:p>
        </w:tc>
        <w:tc>
          <w:tcPr>
            <w:tcW w:w="1985" w:type="dxa"/>
            <w:tcBorders>
              <w:top w:val="single" w:sz="4" w:space="0" w:color="000000"/>
              <w:left w:val="single" w:sz="4" w:space="0" w:color="000000"/>
              <w:bottom w:val="single" w:sz="4" w:space="0" w:color="000000"/>
              <w:right w:val="single" w:sz="4" w:space="0" w:color="000000"/>
            </w:tcBorders>
          </w:tcPr>
          <w:p w:rsidR="008A3376" w:rsidRDefault="00A97FD3">
            <w:pPr>
              <w:spacing w:after="0" w:line="259" w:lineRule="auto"/>
              <w:ind w:left="0" w:right="32" w:firstLine="0"/>
              <w:jc w:val="left"/>
            </w:pPr>
            <w:r>
              <w:rPr>
                <w:sz w:val="20"/>
              </w:rPr>
              <w:t xml:space="preserve">Uses some supporting evidence with minor gaps </w:t>
            </w:r>
          </w:p>
        </w:tc>
        <w:tc>
          <w:tcPr>
            <w:tcW w:w="1702"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1" w:right="0" w:firstLine="0"/>
              <w:jc w:val="left"/>
            </w:pPr>
            <w:r>
              <w:rPr>
                <w:sz w:val="20"/>
              </w:rPr>
              <w:t xml:space="preserve">Limited or weak supporting evidence </w:t>
            </w:r>
          </w:p>
        </w:tc>
        <w:tc>
          <w:tcPr>
            <w:tcW w:w="1383" w:type="dxa"/>
            <w:tcBorders>
              <w:top w:val="single" w:sz="4" w:space="0" w:color="000000"/>
              <w:left w:val="single" w:sz="4" w:space="0" w:color="000000"/>
              <w:bottom w:val="single" w:sz="4" w:space="0" w:color="000000"/>
              <w:right w:val="single" w:sz="4" w:space="0" w:color="000000"/>
            </w:tcBorders>
          </w:tcPr>
          <w:p w:rsidR="008A3376" w:rsidRDefault="00A97FD3">
            <w:pPr>
              <w:spacing w:after="0" w:line="259" w:lineRule="auto"/>
              <w:ind w:left="0" w:right="0" w:firstLine="0"/>
              <w:jc w:val="left"/>
            </w:pPr>
            <w:r>
              <w:rPr>
                <w:sz w:val="20"/>
              </w:rPr>
              <w:t xml:space="preserve">No supporting evidence provided </w:t>
            </w:r>
          </w:p>
        </w:tc>
      </w:tr>
      <w:tr w:rsidR="008A3376">
        <w:trPr>
          <w:trHeight w:val="929"/>
        </w:trPr>
        <w:tc>
          <w:tcPr>
            <w:tcW w:w="133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0" w:firstLine="0"/>
              <w:jc w:val="left"/>
            </w:pPr>
            <w:r>
              <w:rPr>
                <w:sz w:val="20"/>
              </w:rPr>
              <w:t xml:space="preserve">Critical Thinking </w:t>
            </w:r>
          </w:p>
        </w:tc>
        <w:tc>
          <w:tcPr>
            <w:tcW w:w="122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47" w:firstLine="0"/>
              <w:jc w:val="center"/>
            </w:pPr>
            <w:r>
              <w:rPr>
                <w:sz w:val="20"/>
              </w:rPr>
              <w:t xml:space="preserve">20% </w:t>
            </w:r>
          </w:p>
        </w:tc>
        <w:tc>
          <w:tcPr>
            <w:tcW w:w="2268" w:type="dxa"/>
            <w:tcBorders>
              <w:top w:val="single" w:sz="4" w:space="0" w:color="000000"/>
              <w:left w:val="single" w:sz="4" w:space="0" w:color="000000"/>
              <w:bottom w:val="single" w:sz="4" w:space="0" w:color="000000"/>
              <w:right w:val="single" w:sz="4" w:space="0" w:color="000000"/>
            </w:tcBorders>
          </w:tcPr>
          <w:p w:rsidR="008A3376" w:rsidRDefault="00A97FD3">
            <w:pPr>
              <w:spacing w:after="0" w:line="259" w:lineRule="auto"/>
              <w:ind w:left="0" w:right="40" w:firstLine="0"/>
              <w:jc w:val="left"/>
            </w:pPr>
            <w:r>
              <w:rPr>
                <w:sz w:val="20"/>
              </w:rPr>
              <w:t xml:space="preserve">Demonstrates strong critical thinking with clear interpretation and reasoning </w:t>
            </w:r>
          </w:p>
        </w:tc>
        <w:tc>
          <w:tcPr>
            <w:tcW w:w="1985"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0" w:firstLine="0"/>
              <w:jc w:val="left"/>
            </w:pPr>
            <w:r>
              <w:rPr>
                <w:sz w:val="20"/>
              </w:rPr>
              <w:t xml:space="preserve">Shows reasonable interpretation with minor gaps </w:t>
            </w:r>
          </w:p>
        </w:tc>
        <w:tc>
          <w:tcPr>
            <w:tcW w:w="1702"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1" w:right="0" w:firstLine="0"/>
              <w:jc w:val="left"/>
            </w:pPr>
            <w:r>
              <w:rPr>
                <w:sz w:val="20"/>
              </w:rPr>
              <w:t xml:space="preserve">Basic interpretation; lacks depth </w:t>
            </w:r>
          </w:p>
        </w:tc>
        <w:tc>
          <w:tcPr>
            <w:tcW w:w="1383" w:type="dxa"/>
            <w:tcBorders>
              <w:top w:val="single" w:sz="4" w:space="0" w:color="000000"/>
              <w:left w:val="single" w:sz="4" w:space="0" w:color="000000"/>
              <w:bottom w:val="single" w:sz="4" w:space="0" w:color="000000"/>
              <w:right w:val="single" w:sz="4" w:space="0" w:color="000000"/>
            </w:tcBorders>
          </w:tcPr>
          <w:p w:rsidR="008A3376" w:rsidRDefault="00A97FD3">
            <w:pPr>
              <w:spacing w:after="0" w:line="259" w:lineRule="auto"/>
              <w:ind w:left="0" w:right="29" w:firstLine="0"/>
              <w:jc w:val="left"/>
            </w:pPr>
            <w:r>
              <w:rPr>
                <w:sz w:val="20"/>
              </w:rPr>
              <w:t xml:space="preserve">No meaningful </w:t>
            </w:r>
            <w:proofErr w:type="spellStart"/>
            <w:r>
              <w:rPr>
                <w:sz w:val="20"/>
              </w:rPr>
              <w:t>interpretatio</w:t>
            </w:r>
            <w:proofErr w:type="spellEnd"/>
            <w:r>
              <w:rPr>
                <w:sz w:val="20"/>
              </w:rPr>
              <w:t xml:space="preserve"> n </w:t>
            </w:r>
          </w:p>
        </w:tc>
      </w:tr>
      <w:tr w:rsidR="008A3376">
        <w:trPr>
          <w:trHeight w:val="931"/>
        </w:trPr>
        <w:tc>
          <w:tcPr>
            <w:tcW w:w="133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29" w:firstLine="0"/>
              <w:jc w:val="left"/>
            </w:pPr>
            <w:r>
              <w:rPr>
                <w:sz w:val="20"/>
              </w:rPr>
              <w:t xml:space="preserve">Clarity of </w:t>
            </w:r>
            <w:proofErr w:type="spellStart"/>
            <w:r>
              <w:rPr>
                <w:sz w:val="20"/>
              </w:rPr>
              <w:t>Presentatio</w:t>
            </w:r>
            <w:proofErr w:type="spellEnd"/>
            <w:r>
              <w:rPr>
                <w:sz w:val="20"/>
              </w:rPr>
              <w:t xml:space="preserve"> n </w:t>
            </w:r>
          </w:p>
        </w:tc>
        <w:tc>
          <w:tcPr>
            <w:tcW w:w="1229"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47" w:firstLine="0"/>
              <w:jc w:val="center"/>
            </w:pPr>
            <w:r>
              <w:rPr>
                <w:sz w:val="20"/>
              </w:rPr>
              <w:t xml:space="preserve">15% </w:t>
            </w:r>
          </w:p>
        </w:tc>
        <w:tc>
          <w:tcPr>
            <w:tcW w:w="2268" w:type="dxa"/>
            <w:tcBorders>
              <w:top w:val="single" w:sz="4" w:space="0" w:color="000000"/>
              <w:left w:val="single" w:sz="4" w:space="0" w:color="000000"/>
              <w:bottom w:val="single" w:sz="4" w:space="0" w:color="000000"/>
              <w:right w:val="single" w:sz="4" w:space="0" w:color="000000"/>
            </w:tcBorders>
          </w:tcPr>
          <w:p w:rsidR="008A3376" w:rsidRDefault="00A97FD3">
            <w:pPr>
              <w:spacing w:after="0" w:line="259" w:lineRule="auto"/>
              <w:ind w:left="0" w:right="38" w:firstLine="0"/>
              <w:jc w:val="left"/>
            </w:pPr>
            <w:r>
              <w:rPr>
                <w:sz w:val="20"/>
              </w:rPr>
              <w:t>Well-</w:t>
            </w:r>
            <w:r>
              <w:rPr>
                <w:sz w:val="20"/>
              </w:rPr>
              <w:t xml:space="preserve">organized, clear, and logically structured presentation </w:t>
            </w:r>
          </w:p>
        </w:tc>
        <w:tc>
          <w:tcPr>
            <w:tcW w:w="1985" w:type="dxa"/>
            <w:tcBorders>
              <w:top w:val="single" w:sz="4" w:space="0" w:color="000000"/>
              <w:left w:val="single" w:sz="4" w:space="0" w:color="000000"/>
              <w:bottom w:val="single" w:sz="4" w:space="0" w:color="000000"/>
              <w:right w:val="single" w:sz="4" w:space="0" w:color="000000"/>
            </w:tcBorders>
            <w:vAlign w:val="bottom"/>
          </w:tcPr>
          <w:p w:rsidR="008A3376" w:rsidRDefault="00A97FD3">
            <w:pPr>
              <w:spacing w:after="0" w:line="259" w:lineRule="auto"/>
              <w:ind w:left="0" w:right="44" w:firstLine="0"/>
              <w:jc w:val="left"/>
            </w:pPr>
            <w:r>
              <w:rPr>
                <w:sz w:val="20"/>
              </w:rPr>
              <w:t xml:space="preserve">Generally clear with minor issues </w:t>
            </w:r>
          </w:p>
        </w:tc>
        <w:tc>
          <w:tcPr>
            <w:tcW w:w="1702" w:type="dxa"/>
            <w:tcBorders>
              <w:top w:val="single" w:sz="4" w:space="0" w:color="000000"/>
              <w:left w:val="single" w:sz="4" w:space="0" w:color="000000"/>
              <w:bottom w:val="single" w:sz="4" w:space="0" w:color="000000"/>
              <w:right w:val="single" w:sz="4" w:space="0" w:color="000000"/>
            </w:tcBorders>
          </w:tcPr>
          <w:p w:rsidR="008A3376" w:rsidRDefault="00A97FD3">
            <w:pPr>
              <w:spacing w:after="0" w:line="259" w:lineRule="auto"/>
              <w:ind w:left="1" w:right="0" w:firstLine="0"/>
              <w:jc w:val="left"/>
            </w:pPr>
            <w:r>
              <w:rPr>
                <w:sz w:val="20"/>
              </w:rPr>
              <w:t xml:space="preserve">Somewhat </w:t>
            </w:r>
          </w:p>
          <w:p w:rsidR="008A3376" w:rsidRDefault="00A97FD3">
            <w:pPr>
              <w:spacing w:after="0" w:line="259" w:lineRule="auto"/>
              <w:ind w:left="1" w:right="28" w:firstLine="0"/>
              <w:jc w:val="left"/>
            </w:pPr>
            <w:r>
              <w:rPr>
                <w:sz w:val="20"/>
              </w:rPr>
              <w:t xml:space="preserve">unclear or poorly structured </w:t>
            </w:r>
          </w:p>
        </w:tc>
        <w:tc>
          <w:tcPr>
            <w:tcW w:w="1383" w:type="dxa"/>
            <w:tcBorders>
              <w:top w:val="single" w:sz="4" w:space="0" w:color="000000"/>
              <w:left w:val="single" w:sz="4" w:space="0" w:color="000000"/>
              <w:bottom w:val="single" w:sz="4" w:space="0" w:color="000000"/>
              <w:right w:val="single" w:sz="4" w:space="0" w:color="000000"/>
            </w:tcBorders>
          </w:tcPr>
          <w:p w:rsidR="008A3376" w:rsidRDefault="00A97FD3">
            <w:pPr>
              <w:spacing w:after="0" w:line="241" w:lineRule="auto"/>
              <w:ind w:left="0" w:right="29" w:firstLine="0"/>
              <w:jc w:val="left"/>
            </w:pPr>
            <w:r>
              <w:rPr>
                <w:sz w:val="20"/>
              </w:rPr>
              <w:t xml:space="preserve">Disorganize d and </w:t>
            </w:r>
          </w:p>
          <w:p w:rsidR="008A3376" w:rsidRDefault="00A97FD3">
            <w:pPr>
              <w:spacing w:after="0" w:line="259" w:lineRule="auto"/>
              <w:ind w:left="0" w:right="0" w:firstLine="0"/>
              <w:jc w:val="left"/>
            </w:pPr>
            <w:r>
              <w:rPr>
                <w:sz w:val="20"/>
              </w:rPr>
              <w:t xml:space="preserve">difficult to </w:t>
            </w:r>
          </w:p>
          <w:p w:rsidR="008A3376" w:rsidRDefault="00A97FD3">
            <w:pPr>
              <w:spacing w:after="0" w:line="259" w:lineRule="auto"/>
              <w:ind w:left="0" w:right="0" w:firstLine="0"/>
              <w:jc w:val="left"/>
            </w:pPr>
            <w:r>
              <w:rPr>
                <w:sz w:val="20"/>
              </w:rPr>
              <w:t xml:space="preserve">understand </w:t>
            </w:r>
          </w:p>
        </w:tc>
      </w:tr>
    </w:tbl>
    <w:p w:rsidR="008A3376" w:rsidRDefault="00A97FD3">
      <w:pPr>
        <w:spacing w:after="0" w:line="259" w:lineRule="auto"/>
        <w:ind w:left="0" w:right="0" w:firstLine="0"/>
      </w:pPr>
      <w:r>
        <w:rPr>
          <w:b/>
          <w:sz w:val="34"/>
        </w:rPr>
        <w:t xml:space="preserve"> </w:t>
      </w:r>
    </w:p>
    <w:sectPr w:rsidR="008A3376">
      <w:pgSz w:w="11909" w:h="16834"/>
      <w:pgMar w:top="1445" w:right="924" w:bottom="1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B10DEA"/>
    <w:multiLevelType w:val="hybridMultilevel"/>
    <w:tmpl w:val="D9D0B3EE"/>
    <w:lvl w:ilvl="0" w:tplc="5C3033D8">
      <w:start w:val="1"/>
      <w:numFmt w:val="bullet"/>
      <w:lvlText w:val="•"/>
      <w:lvlJc w:val="left"/>
      <w:pPr>
        <w:ind w:left="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0C235C">
      <w:start w:val="1"/>
      <w:numFmt w:val="bullet"/>
      <w:lvlText w:val="o"/>
      <w:lvlJc w:val="left"/>
      <w:pPr>
        <w:ind w:left="1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E084DC">
      <w:start w:val="1"/>
      <w:numFmt w:val="bullet"/>
      <w:lvlText w:val="▪"/>
      <w:lvlJc w:val="left"/>
      <w:pPr>
        <w:ind w:left="2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603FC4">
      <w:start w:val="1"/>
      <w:numFmt w:val="bullet"/>
      <w:lvlText w:val="•"/>
      <w:lvlJc w:val="left"/>
      <w:pPr>
        <w:ind w:left="2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F0DF48">
      <w:start w:val="1"/>
      <w:numFmt w:val="bullet"/>
      <w:lvlText w:val="o"/>
      <w:lvlJc w:val="left"/>
      <w:pPr>
        <w:ind w:left="3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2670D2">
      <w:start w:val="1"/>
      <w:numFmt w:val="bullet"/>
      <w:lvlText w:val="▪"/>
      <w:lvlJc w:val="left"/>
      <w:pPr>
        <w:ind w:left="42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DA6DB6">
      <w:start w:val="1"/>
      <w:numFmt w:val="bullet"/>
      <w:lvlText w:val="•"/>
      <w:lvlJc w:val="left"/>
      <w:pPr>
        <w:ind w:left="49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303958">
      <w:start w:val="1"/>
      <w:numFmt w:val="bullet"/>
      <w:lvlText w:val="o"/>
      <w:lvlJc w:val="left"/>
      <w:pPr>
        <w:ind w:left="5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74DC22">
      <w:start w:val="1"/>
      <w:numFmt w:val="bullet"/>
      <w:lvlText w:val="▪"/>
      <w:lvlJc w:val="left"/>
      <w:pPr>
        <w:ind w:left="6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744BF2"/>
    <w:multiLevelType w:val="hybridMultilevel"/>
    <w:tmpl w:val="9B3848EE"/>
    <w:lvl w:ilvl="0" w:tplc="5546D95E">
      <w:start w:val="1"/>
      <w:numFmt w:val="bullet"/>
      <w:lvlText w:val="•"/>
      <w:lvlJc w:val="left"/>
      <w:pPr>
        <w:ind w:left="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C0392A">
      <w:start w:val="1"/>
      <w:numFmt w:val="bullet"/>
      <w:lvlText w:val="o"/>
      <w:lvlJc w:val="left"/>
      <w:pPr>
        <w:ind w:left="1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FA2FD8">
      <w:start w:val="1"/>
      <w:numFmt w:val="bullet"/>
      <w:lvlText w:val="▪"/>
      <w:lvlJc w:val="left"/>
      <w:pPr>
        <w:ind w:left="2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A8A8A0">
      <w:start w:val="1"/>
      <w:numFmt w:val="bullet"/>
      <w:lvlText w:val="•"/>
      <w:lvlJc w:val="left"/>
      <w:pPr>
        <w:ind w:left="2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CA3C7A">
      <w:start w:val="1"/>
      <w:numFmt w:val="bullet"/>
      <w:lvlText w:val="o"/>
      <w:lvlJc w:val="left"/>
      <w:pPr>
        <w:ind w:left="3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88EBD4">
      <w:start w:val="1"/>
      <w:numFmt w:val="bullet"/>
      <w:lvlText w:val="▪"/>
      <w:lvlJc w:val="left"/>
      <w:pPr>
        <w:ind w:left="42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C621F8">
      <w:start w:val="1"/>
      <w:numFmt w:val="bullet"/>
      <w:lvlText w:val="•"/>
      <w:lvlJc w:val="left"/>
      <w:pPr>
        <w:ind w:left="49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D27686">
      <w:start w:val="1"/>
      <w:numFmt w:val="bullet"/>
      <w:lvlText w:val="o"/>
      <w:lvlJc w:val="left"/>
      <w:pPr>
        <w:ind w:left="5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2461E8">
      <w:start w:val="1"/>
      <w:numFmt w:val="bullet"/>
      <w:lvlText w:val="▪"/>
      <w:lvlJc w:val="left"/>
      <w:pPr>
        <w:ind w:left="6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A351FF1"/>
    <w:multiLevelType w:val="hybridMultilevel"/>
    <w:tmpl w:val="123C0D16"/>
    <w:lvl w:ilvl="0" w:tplc="759AF9B2">
      <w:start w:val="1"/>
      <w:numFmt w:val="bullet"/>
      <w:lvlText w:val="•"/>
      <w:lvlJc w:val="left"/>
      <w:pPr>
        <w:ind w:left="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8CFD1A">
      <w:start w:val="1"/>
      <w:numFmt w:val="bullet"/>
      <w:lvlText w:val="o"/>
      <w:lvlJc w:val="left"/>
      <w:pPr>
        <w:ind w:left="1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DCC57E">
      <w:start w:val="1"/>
      <w:numFmt w:val="bullet"/>
      <w:lvlText w:val="▪"/>
      <w:lvlJc w:val="left"/>
      <w:pPr>
        <w:ind w:left="2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008084">
      <w:start w:val="1"/>
      <w:numFmt w:val="bullet"/>
      <w:lvlText w:val="•"/>
      <w:lvlJc w:val="left"/>
      <w:pPr>
        <w:ind w:left="2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64CF0C">
      <w:start w:val="1"/>
      <w:numFmt w:val="bullet"/>
      <w:lvlText w:val="o"/>
      <w:lvlJc w:val="left"/>
      <w:pPr>
        <w:ind w:left="3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186A70">
      <w:start w:val="1"/>
      <w:numFmt w:val="bullet"/>
      <w:lvlText w:val="▪"/>
      <w:lvlJc w:val="left"/>
      <w:pPr>
        <w:ind w:left="42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EE66C4">
      <w:start w:val="1"/>
      <w:numFmt w:val="bullet"/>
      <w:lvlText w:val="•"/>
      <w:lvlJc w:val="left"/>
      <w:pPr>
        <w:ind w:left="49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2204A8">
      <w:start w:val="1"/>
      <w:numFmt w:val="bullet"/>
      <w:lvlText w:val="o"/>
      <w:lvlJc w:val="left"/>
      <w:pPr>
        <w:ind w:left="5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7E5B4C">
      <w:start w:val="1"/>
      <w:numFmt w:val="bullet"/>
      <w:lvlText w:val="▪"/>
      <w:lvlJc w:val="left"/>
      <w:pPr>
        <w:ind w:left="6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2A20E4"/>
    <w:multiLevelType w:val="hybridMultilevel"/>
    <w:tmpl w:val="E38AB9A4"/>
    <w:lvl w:ilvl="0" w:tplc="465C9980">
      <w:start w:val="1"/>
      <w:numFmt w:val="bullet"/>
      <w:lvlText w:val="•"/>
      <w:lvlJc w:val="left"/>
      <w:pPr>
        <w:ind w:left="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E65F8E">
      <w:start w:val="1"/>
      <w:numFmt w:val="bullet"/>
      <w:lvlText w:val="o"/>
      <w:lvlJc w:val="left"/>
      <w:pPr>
        <w:ind w:left="1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2AC72A">
      <w:start w:val="1"/>
      <w:numFmt w:val="bullet"/>
      <w:lvlText w:val="▪"/>
      <w:lvlJc w:val="left"/>
      <w:pPr>
        <w:ind w:left="2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5C504E">
      <w:start w:val="1"/>
      <w:numFmt w:val="bullet"/>
      <w:lvlText w:val="•"/>
      <w:lvlJc w:val="left"/>
      <w:pPr>
        <w:ind w:left="2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EC1FA4">
      <w:start w:val="1"/>
      <w:numFmt w:val="bullet"/>
      <w:lvlText w:val="o"/>
      <w:lvlJc w:val="left"/>
      <w:pPr>
        <w:ind w:left="3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A6A198">
      <w:start w:val="1"/>
      <w:numFmt w:val="bullet"/>
      <w:lvlText w:val="▪"/>
      <w:lvlJc w:val="left"/>
      <w:pPr>
        <w:ind w:left="42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D6377A">
      <w:start w:val="1"/>
      <w:numFmt w:val="bullet"/>
      <w:lvlText w:val="•"/>
      <w:lvlJc w:val="left"/>
      <w:pPr>
        <w:ind w:left="49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7E16DA">
      <w:start w:val="1"/>
      <w:numFmt w:val="bullet"/>
      <w:lvlText w:val="o"/>
      <w:lvlJc w:val="left"/>
      <w:pPr>
        <w:ind w:left="5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F23F0E">
      <w:start w:val="1"/>
      <w:numFmt w:val="bullet"/>
      <w:lvlText w:val="▪"/>
      <w:lvlJc w:val="left"/>
      <w:pPr>
        <w:ind w:left="6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A452B19"/>
    <w:multiLevelType w:val="hybridMultilevel"/>
    <w:tmpl w:val="3190C1FA"/>
    <w:lvl w:ilvl="0" w:tplc="17E4C664">
      <w:start w:val="1"/>
      <w:numFmt w:val="bullet"/>
      <w:lvlText w:val="•"/>
      <w:lvlJc w:val="left"/>
      <w:pPr>
        <w:ind w:left="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74480C">
      <w:start w:val="1"/>
      <w:numFmt w:val="bullet"/>
      <w:lvlText w:val="o"/>
      <w:lvlJc w:val="left"/>
      <w:pPr>
        <w:ind w:left="1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9AFED8">
      <w:start w:val="1"/>
      <w:numFmt w:val="bullet"/>
      <w:lvlText w:val="▪"/>
      <w:lvlJc w:val="left"/>
      <w:pPr>
        <w:ind w:left="2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22B808">
      <w:start w:val="1"/>
      <w:numFmt w:val="bullet"/>
      <w:lvlText w:val="•"/>
      <w:lvlJc w:val="left"/>
      <w:pPr>
        <w:ind w:left="2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6C429C">
      <w:start w:val="1"/>
      <w:numFmt w:val="bullet"/>
      <w:lvlText w:val="o"/>
      <w:lvlJc w:val="left"/>
      <w:pPr>
        <w:ind w:left="3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FCD3A6">
      <w:start w:val="1"/>
      <w:numFmt w:val="bullet"/>
      <w:lvlText w:val="▪"/>
      <w:lvlJc w:val="left"/>
      <w:pPr>
        <w:ind w:left="42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6A9FB8">
      <w:start w:val="1"/>
      <w:numFmt w:val="bullet"/>
      <w:lvlText w:val="•"/>
      <w:lvlJc w:val="left"/>
      <w:pPr>
        <w:ind w:left="49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A04A88">
      <w:start w:val="1"/>
      <w:numFmt w:val="bullet"/>
      <w:lvlText w:val="o"/>
      <w:lvlJc w:val="left"/>
      <w:pPr>
        <w:ind w:left="5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460880">
      <w:start w:val="1"/>
      <w:numFmt w:val="bullet"/>
      <w:lvlText w:val="▪"/>
      <w:lvlJc w:val="left"/>
      <w:pPr>
        <w:ind w:left="6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E1D2A69"/>
    <w:multiLevelType w:val="hybridMultilevel"/>
    <w:tmpl w:val="7DAEF77E"/>
    <w:lvl w:ilvl="0" w:tplc="50AAF70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B435D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D899B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688DA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ACEB0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B6D59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FA8E4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E3CB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705F1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4"/>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376"/>
    <w:rsid w:val="008A3376"/>
    <w:rsid w:val="00A97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185E"/>
  <w15:docId w15:val="{2755294C-1401-463D-9FC3-CD258392C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17" w:line="276" w:lineRule="auto"/>
      <w:ind w:left="370" w:right="67" w:hanging="10"/>
      <w:jc w:val="both"/>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5" w:line="268" w:lineRule="auto"/>
      <w:ind w:left="10" w:hanging="10"/>
      <w:outlineLvl w:val="0"/>
    </w:pPr>
    <w:rPr>
      <w:rFonts w:ascii="Arial" w:eastAsia="Arial" w:hAnsi="Arial" w:cs="Arial"/>
      <w:b/>
      <w:color w:val="1F3B57"/>
      <w:sz w:val="28"/>
    </w:rPr>
  </w:style>
  <w:style w:type="paragraph" w:styleId="Heading2">
    <w:name w:val="heading 2"/>
    <w:next w:val="Normal"/>
    <w:link w:val="Heading2Char"/>
    <w:uiPriority w:val="9"/>
    <w:unhideWhenUsed/>
    <w:qFormat/>
    <w:pPr>
      <w:keepNext/>
      <w:keepLines/>
      <w:spacing w:after="99"/>
      <w:ind w:left="10" w:hanging="10"/>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0"/>
      <w:ind w:left="10" w:hanging="10"/>
      <w:outlineLvl w:val="2"/>
    </w:pPr>
    <w:rPr>
      <w:rFonts w:ascii="Arial" w:eastAsia="Arial" w:hAnsi="Arial" w:cs="Arial"/>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000000"/>
      <w:sz w:val="22"/>
    </w:rPr>
  </w:style>
  <w:style w:type="character" w:customStyle="1" w:styleId="Heading1Char">
    <w:name w:val="Heading 1 Char"/>
    <w:link w:val="Heading1"/>
    <w:rPr>
      <w:rFonts w:ascii="Arial" w:eastAsia="Arial" w:hAnsi="Arial" w:cs="Arial"/>
      <w:b/>
      <w:color w:val="1F3B57"/>
      <w:sz w:val="28"/>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3205</Words>
  <Characters>18271</Characters>
  <Application>Microsoft Office Word</Application>
  <DocSecurity>0</DocSecurity>
  <Lines>152</Lines>
  <Paragraphs>42</Paragraphs>
  <ScaleCrop>false</ScaleCrop>
  <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dcterms:created xsi:type="dcterms:W3CDTF">2026-08-19T04:26:00Z</dcterms:created>
  <dcterms:modified xsi:type="dcterms:W3CDTF">2026-08-19T04:26:00Z</dcterms:modified>
</cp:coreProperties>
</file>