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Cahier des charges — Projet CineTrekker</w:t>
      </w:r>
    </w:p>
    <w:p>
      <w:pPr/>
      <w:r>
        <w:rPr>
          <w:b/>
        </w:rPr>
        <w:t xml:space="preserve">Infrastructure web 3-tiers sur AWS (Learner Lab, us-east-1)</w:t>
      </w:r>
    </w:p>
    <w:p>
      <w:pPr/>
      <w:r>
        <w:t xml:space="preserve">TEK-UP · ING-4 · Module ING-4-CIM — Projet et Déploiement d'Infrastructure Cloud AWS · Enseignant responsable : Hamdi Chebbi · Octobre 2026</w:t>
      </w:r>
    </w:p>
    <w:tbl>
      <w:tblPr>
        <w:tblStyle w:val="TableGrid"/>
        <w:tblW w:w="0" w:type="auto"/>
        <w:tblLayout w:type="fixed"/>
        <w:tblLook w:val="04A0" w:firstRow="1" w:lastRow="0" w:firstColumn="0" w:lastColumn="0" w:noHBand="0" w:noVBand="1"/>
      </w:tblPr>
      <w:tblGrid>
        <w:gridCol w:w="3051"/>
        <w:gridCol w:w="6308"/>
      </w:tblGrid>
      <w:tr>
        <w:trPr>
          <w:tblHeader/>
        </w:trPr>
        <w:tc>
          <w:tcPr>
            <w:tcW w:w="3051" w:type="dxa"/>
            <w:shd w:val="clear" w:color="auto" w:fill="F2F2F2"/>
          </w:tcPr>
          <w:p>
            <w:pPr/>
            <w:r>
              <w:t xml:space="preserve">Rubrique</w:t>
            </w:r>
          </w:p>
        </w:tc>
        <w:tc>
          <w:tcPr>
            <w:tcW w:w="6308" w:type="dxa"/>
            <w:shd w:val="clear" w:color="auto" w:fill="F2F2F2"/>
          </w:tcPr>
          <w:p>
            <w:pPr/>
            <w:r>
              <w:t xml:space="preserve">Détail</w:t>
            </w:r>
          </w:p>
        </w:tc>
      </w:tr>
      <w:tr>
        <w:tc>
          <w:tcPr>
            <w:tcW w:w="3051" w:type="dxa"/>
          </w:tcPr>
          <w:p>
            <w:pPr/>
            <w:r>
              <w:t xml:space="preserve">Version</w:t>
            </w:r>
          </w:p>
        </w:tc>
        <w:tc>
          <w:tcPr>
            <w:tcW w:w="6308" w:type="dxa"/>
          </w:tcPr>
          <w:p>
            <w:pPr/>
            <w:r>
              <w:t xml:space="preserve">2.0 — document de référence unifié (fusion du cahier de référence v1.0 et du dossier L1-L3)</w:t>
            </w:r>
          </w:p>
        </w:tc>
      </w:tr>
      <w:tr>
        <w:tc>
          <w:tcPr>
            <w:tcW w:w="3051" w:type="dxa"/>
          </w:tcPr>
          <w:p>
            <w:pPr/>
            <w:r>
              <w:t xml:space="preserve">Statut</w:t>
            </w:r>
          </w:p>
        </w:tc>
        <w:tc>
          <w:tcPr>
            <w:tcW w:w="6308" w:type="dxa"/>
          </w:tcPr>
          <w:p>
            <w:pPr/>
            <w:r>
              <w:t xml:space="preserve">Pour validation par l'enseignant</w:t>
            </w:r>
          </w:p>
        </w:tc>
      </w:tr>
      <w:tr>
        <w:tc>
          <w:tcPr>
            <w:tcW w:w="3051" w:type="dxa"/>
          </w:tcPr>
          <w:p>
            <w:pPr/>
            <w:r>
              <w:t xml:space="preserve">Dépôt Git</w:t>
            </w:r>
          </w:p>
        </w:tc>
        <w:tc>
          <w:tcPr>
            <w:tcW w:w="6308" w:type="dxa"/>
          </w:tcPr>
          <w:p>
            <w:pPr/>
            <w:r>
              <w:rPr>
                <w:color w:val="004E9A"/>
              </w:rPr>
              <w:t>https://github.com/MohamedJebahi21/projet-aws</w:t>
            </w:r>
          </w:p>
        </w:tc>
      </w:tr>
      <w:tr>
        <w:tc>
          <w:tcPr>
            <w:tcW w:w="3051" w:type="dxa"/>
          </w:tcPr>
          <w:p>
            <w:pPr/>
            <w:r>
              <w:t xml:space="preserve">Environnement cible</w:t>
            </w:r>
          </w:p>
        </w:tc>
        <w:tc>
          <w:tcPr>
            <w:tcW w:w="6308" w:type="dxa"/>
          </w:tcPr>
          <w:p>
            <w:pPr/>
            <w:r>
              <w:t xml:space="preserve">AWS Academy Learner Lab, région us-east-1, crédit de 50 USD par étudiant</w:t>
            </w:r>
          </w:p>
        </w:tc>
      </w:tr>
      <w:tr>
        <w:tc>
          <w:tcPr>
            <w:tcW w:w="3051" w:type="dxa"/>
          </w:tcPr>
          <w:p>
            <w:pPr/>
            <w:r>
              <w:t xml:space="preserve">Durée du projet</w:t>
            </w:r>
          </w:p>
        </w:tc>
        <w:tc>
          <w:tcPr>
            <w:tcW w:w="6308" w:type="dxa"/>
          </w:tcPr>
          <w:p>
            <w:pPr/>
            <w:r>
              <w:t xml:space="preserve">14 semaines</w:t>
            </w:r>
          </w:p>
        </w:tc>
      </w:tr>
      <w:tr>
        <w:tc>
          <w:tcPr>
            <w:tcW w:w="3051" w:type="dxa"/>
          </w:tcPr>
          <w:p>
            <w:pPr/>
            <w:r>
              <w:t xml:space="preserve">Équipe</w:t>
            </w:r>
          </w:p>
        </w:tc>
        <w:tc>
          <w:tcPr>
            <w:tcW w:w="6308" w:type="dxa"/>
          </w:tcPr>
          <w:p>
            <w:pPr/>
            <w:r>
              <w:t xml:space="preserve">5 étudiants</w:t>
            </w:r>
          </w:p>
        </w:tc>
      </w:tr>
    </w:tbl>
    <w:p>
      <w:pPr/>
      <w:r>
        <w:rPr>
          <w:i/>
        </w:rPr>
        <w:t xml:space="preserve">Les valeurs de charge, de disponibilité, de délai et de coût sont des objectifs du projet. Elles doivent être mesurées pendant les essais et ajustées avec l'enseignant si elles sont incompatibles avec les quotas, le crédit ou les limitations du Learner Lab. Aucun résultat n'est considéré comme atteint sans preuve.</w:t>
      </w:r>
    </w:p>
    <w:p>
      <w:pPr>
        <w:pStyle w:val="Heading2"/>
      </w:pPr>
      <w:r>
        <w:t xml:space="preserve">1. Résumé exécutif</w:t>
      </w:r>
    </w:p>
    <w:p>
      <w:pPr/>
      <w:r>
        <w:t xml:space="preserve">Le projet consiste à concevoir, déployer, exploiter puis détruire une infrastructure AWS web à trois tiers pour </w:t>
      </w:r>
      <w:r>
        <w:rPr>
          <w:b/>
        </w:rPr>
        <w:t xml:space="preserve">CineTrekker</w:t>
      </w:r>
      <w:r>
        <w:t xml:space="preserve">, une plateforme de découverte et de suivi de films et de séries. L'infrastructure, et non la richesse fonctionnelle de l'application, constitue l'objet principal de l'évaluation.</w:t>
      </w:r>
    </w:p>
    <w:p>
      <w:pPr/>
      <w:r>
        <w:t xml:space="preserve">L'architecture sépare le réseau d'entrée, les serveurs applicatifs et la persistance. Elle s'appuie sur un VPC dédié sur deux zones de disponibilité, un Application Load Balancer (ALB), un groupe Auto Scaling d'instances EC2, un compartiment S3 privé chiffré et une instance NAT économique. La cible complète ajoute une base Amazon RDS PostgreSQL privée ainsi que CloudWatch pour la journalisation et la supervision. Tout est décrit en Terraform, versionné, reproductible et exploitable par des scripts documentés.</w:t>
      </w:r>
    </w:p>
    <w:p>
      <w:pPr/>
      <w:r>
        <w:rPr>
          <w:b/>
        </w:rPr>
        <w:t>État d'avancement. Les livrables L1 à L3 (sujet, architecture et budget, réseau/calcul/IaC) sont réalisés dans le dépôt : le déploiement se fait en une commande et a été mesuré à 3 min 26 s, la destruction à 2 min 59 s (séance du 28/10/2026). Les livrables L4 à L7 (haute disponibilité éprouvée, données, supervision, exploitation) restent à réaliser et sont spécifiés dans ce document.</w:t>
      </w:r>
      <w:r/>
    </w:p>
    <w:p>
      <w:pPr/>
      <w:r>
        <w:t xml:space="preserve">La preuve fondamentale de réussite est la capacité à détruire les ressources du projet puis à reconstruire l'environnement depuis le dépôt, sans création manuelle de ressources dans la console.</w:t>
      </w:r>
    </w:p>
    <w:p>
      <w:pPr>
        <w:pStyle w:val="Heading2"/>
      </w:pPr>
      <w:r>
        <w:t xml:space="preserve">2. Identification du projet</w:t>
      </w:r>
    </w:p>
    <w:p>
      <w:pPr>
        <w:pStyle w:val="Heading3"/>
      </w:pPr>
      <w:r>
        <w:t xml:space="preserve">2.1 Équipe</w:t>
      </w:r>
    </w:p>
    <w:tbl>
      <w:tblPr>
        <w:tblStyle w:val="TableGrid"/>
        <w:tblW w:w="0" w:type="auto"/>
        <w:tblLayout w:type="fixed"/>
        <w:tblLook w:val="04A0" w:firstRow="1" w:lastRow="0" w:firstColumn="0" w:lastColumn="0" w:noHBand="0" w:noVBand="1"/>
      </w:tblPr>
      <w:tblGrid>
        <w:gridCol w:w="2532"/>
        <w:gridCol w:w="3708"/>
        <w:gridCol w:w="3120"/>
      </w:tblGrid>
      <w:tr>
        <w:trPr>
          <w:tblHeader/>
        </w:trPr>
        <w:tc>
          <w:tcPr>
            <w:tcW w:w="2532" w:type="dxa"/>
            <w:shd w:val="clear" w:color="auto" w:fill="F2F2F2"/>
          </w:tcPr>
          <w:p>
            <w:pPr/>
            <w:r>
              <w:t xml:space="preserve">Étudiant</w:t>
            </w:r>
          </w:p>
        </w:tc>
        <w:tc>
          <w:tcPr>
            <w:tcW w:w="3708" w:type="dxa"/>
            <w:shd w:val="clear" w:color="auto" w:fill="F2F2F2"/>
          </w:tcPr>
          <w:p>
            <w:pPr/>
            <w:r>
              <w:t xml:space="preserve">Rôle</w:t>
            </w:r>
          </w:p>
        </w:tc>
        <w:tc>
          <w:tcPr>
            <w:tcW w:w="3120" w:type="dxa"/>
            <w:shd w:val="clear" w:color="auto" w:fill="F2F2F2"/>
          </w:tcPr>
          <w:p>
            <w:pPr/>
            <w:r>
              <w:t xml:space="preserve">Email</w:t>
            </w:r>
          </w:p>
        </w:tc>
      </w:tr>
      <w:tr>
        <w:tc>
          <w:tcPr>
            <w:tcW w:w="2532" w:type="dxa"/>
          </w:tcPr>
          <w:p>
            <w:pPr/>
            <w:r>
              <w:t xml:space="preserve">JEBAHI Mohamed</w:t>
            </w:r>
          </w:p>
        </w:tc>
        <w:tc>
          <w:tcPr>
            <w:tcW w:w="3708" w:type="dxa"/>
          </w:tcPr>
          <w:p>
            <w:pPr/>
            <w:r>
              <w:t xml:space="preserve">Lead développeur applicatif et intégration cloud</w:t>
            </w:r>
          </w:p>
        </w:tc>
        <w:tc>
          <w:tcPr>
            <w:tcW w:w="3120" w:type="dxa"/>
          </w:tcPr>
          <w:p>
            <w:pPr/>
            <w:r>
              <w:t xml:space="preserve">mohamed.jebahi21@gmail.com</w:t>
            </w:r>
          </w:p>
        </w:tc>
      </w:tr>
      <w:tr>
        <w:tc>
          <w:tcPr>
            <w:tcW w:w="2532" w:type="dxa"/>
          </w:tcPr>
          <w:p>
            <w:pPr/>
            <w:r>
              <w:t xml:space="preserve">LAAMERI Mohamed</w:t>
            </w:r>
          </w:p>
        </w:tc>
        <w:tc>
          <w:tcPr>
            <w:tcW w:w="3708" w:type="dxa"/>
          </w:tcPr>
          <w:p>
            <w:pPr/>
            <w:r>
              <w:t xml:space="preserve">Lead Cloud Architect, IaC Terraform (réseau et calcul)</w:t>
            </w:r>
          </w:p>
        </w:tc>
        <w:tc>
          <w:tcPr>
            <w:tcW w:w="3120" w:type="dxa"/>
          </w:tcPr>
          <w:p>
            <w:pPr/>
            <w:r>
              <w:t xml:space="preserve">lamerimohamed870@gmail.com</w:t>
            </w:r>
          </w:p>
        </w:tc>
      </w:tr>
      <w:tr>
        <w:tc>
          <w:tcPr>
            <w:tcW w:w="2532" w:type="dxa"/>
          </w:tcPr>
          <w:p>
            <w:pPr/>
            <w:r>
              <w:t xml:space="preserve">KAHLA Salma</w:t>
            </w:r>
          </w:p>
        </w:tc>
        <w:tc>
          <w:tcPr>
            <w:tcW w:w="3708" w:type="dxa"/>
          </w:tcPr>
          <w:p>
            <w:pPr/>
            <w:r>
              <w:t xml:space="preserve">Ingénieure sécurité cloud et persistance des données</w:t>
            </w:r>
          </w:p>
        </w:tc>
        <w:tc>
          <w:tcPr>
            <w:tcW w:w="3120" w:type="dxa"/>
          </w:tcPr>
          <w:p>
            <w:pPr/>
            <w:r>
              <w:t xml:space="preserve">salmabenkahla40@gmail.com</w:t>
            </w:r>
          </w:p>
        </w:tc>
      </w:tr>
      <w:tr>
        <w:tc>
          <w:tcPr>
            <w:tcW w:w="2532" w:type="dxa"/>
          </w:tcPr>
          <w:p>
            <w:pPr/>
            <w:r>
              <w:t xml:space="preserve">CHAIBI Arij</w:t>
            </w:r>
          </w:p>
        </w:tc>
        <w:tc>
          <w:tcPr>
            <w:tcW w:w="3708" w:type="dxa"/>
          </w:tcPr>
          <w:p>
            <w:pPr/>
            <w:r>
              <w:t xml:space="preserve">Ingénieure DevOps et automatisation du déploiement</w:t>
            </w:r>
          </w:p>
        </w:tc>
        <w:tc>
          <w:tcPr>
            <w:tcW w:w="3120" w:type="dxa"/>
          </w:tcPr>
          <w:p>
            <w:pPr/>
            <w:r>
              <w:t xml:space="preserve">arijchaibi51@gmail.com</w:t>
            </w:r>
          </w:p>
        </w:tc>
      </w:tr>
      <w:tr>
        <w:tc>
          <w:tcPr>
            <w:tcW w:w="2532" w:type="dxa"/>
          </w:tcPr>
          <w:p>
            <w:pPr/>
            <w:r>
              <w:t xml:space="preserve">KHARRAT Mouheddin</w:t>
            </w:r>
          </w:p>
        </w:tc>
        <w:tc>
          <w:tcPr>
            <w:tcW w:w="3708" w:type="dxa"/>
          </w:tcPr>
          <w:p>
            <w:pPr/>
            <w:r>
              <w:t xml:space="preserve">Ingénieur supervision, observabilité et qualité</w:t>
            </w:r>
          </w:p>
        </w:tc>
        <w:tc>
          <w:tcPr>
            <w:tcW w:w="3120" w:type="dxa"/>
          </w:tcPr>
          <w:p>
            <w:pPr/>
            <w:r>
              <w:t xml:space="preserve">Mohidinemoha5@gmail.com</w:t>
            </w:r>
          </w:p>
        </w:tc>
      </w:tr>
    </w:tbl>
    <w:p>
      <w:pPr>
        <w:pStyle w:val="Heading3"/>
      </w:pPr>
      <w:r>
        <w:t xml:space="preserve">2.2 Parties prenantes</w:t>
      </w:r>
    </w:p>
    <w:tbl>
      <w:tblPr>
        <w:tblStyle w:val="TableGrid"/>
        <w:tblW w:w="0" w:type="auto"/>
        <w:tblLayout w:type="fixed"/>
        <w:tblLook w:val="04A0" w:firstRow="1" w:lastRow="0" w:firstColumn="0" w:lastColumn="0" w:noHBand="0" w:noVBand="1"/>
      </w:tblPr>
      <w:tblGrid>
        <w:gridCol w:w="3401"/>
        <w:gridCol w:w="5958"/>
      </w:tblGrid>
      <w:tr>
        <w:trPr>
          <w:tblHeader/>
        </w:trPr>
        <w:tc>
          <w:tcPr>
            <w:tcW w:w="3401" w:type="dxa"/>
            <w:shd w:val="clear" w:color="auto" w:fill="F2F2F2"/>
          </w:tcPr>
          <w:p>
            <w:pPr/>
            <w:r>
              <w:t xml:space="preserve">Partie prenante</w:t>
            </w:r>
          </w:p>
        </w:tc>
        <w:tc>
          <w:tcPr>
            <w:tcW w:w="5958" w:type="dxa"/>
            <w:shd w:val="clear" w:color="auto" w:fill="F2F2F2"/>
          </w:tcPr>
          <w:p>
            <w:pPr/>
            <w:r>
              <w:t xml:space="preserve">Rôle</w:t>
            </w:r>
          </w:p>
        </w:tc>
      </w:tr>
      <w:tr>
        <w:tc>
          <w:tcPr>
            <w:tcW w:w="3401" w:type="dxa"/>
          </w:tcPr>
          <w:p>
            <w:pPr/>
            <w:r>
              <w:t xml:space="preserve">Hamdi Chebbi (TEK-UP)</w:t>
            </w:r>
          </w:p>
        </w:tc>
        <w:tc>
          <w:tcPr>
            <w:tcW w:w="5958" w:type="dxa"/>
          </w:tcPr>
          <w:p>
            <w:pPr/>
            <w:r>
              <w:t xml:space="preserve">Enseignant responsable : validation du sujet, des livrables et de la soutenance</w:t>
            </w:r>
          </w:p>
        </w:tc>
      </w:tr>
      <w:tr>
        <w:tc>
          <w:tcPr>
            <w:tcW w:w="3401" w:type="dxa"/>
          </w:tcPr>
          <w:p>
            <w:pPr/>
            <w:r>
              <w:t xml:space="preserve">Équipe projet</w:t>
            </w:r>
          </w:p>
        </w:tc>
        <w:tc>
          <w:tcPr>
            <w:tcW w:w="5958" w:type="dxa"/>
          </w:tcPr>
          <w:p>
            <w:pPr/>
            <w:r>
              <w:t xml:space="preserve">Conception, réalisation, exploitation et documentation</w:t>
            </w:r>
          </w:p>
        </w:tc>
      </w:tr>
    </w:tbl>
    <w:p>
      <w:pPr>
        <w:pStyle w:val="Heading2"/>
      </w:pPr>
      <w:r>
        <w:t xml:space="preserve">3. Contexte et problématique</w:t>
      </w:r>
    </w:p>
    <w:p>
      <w:pPr/>
      <w:r>
        <w:t xml:space="preserve">Une plateforme web publique doit rester accessible lorsqu'une instance applicative tombe en panne, protéger ses données et permettre à son équipe de diagnostiquer les incidents. Ces propriétés doivent être démontrées dans un environnement d'apprentissage AWS soumis à un crédit limité, à des identifiants temporaires et à des permissions IAM restreintes.</w:t>
      </w:r>
    </w:p>
    <w:p>
      <w:pPr/>
      <w:r>
        <w:t xml:space="preserve">Le projet répond aux questions suivantes :</w:t>
      </w:r>
    </w:p>
    <w:p>
      <w:pPr>
        <w:pStyle w:val="ListParagraph"/>
        <w:numPr>
          <w:ilvl w:val="0"/>
          <w:numId w:val="2"/>
        </w:numPr>
      </w:pPr>
      <w:r>
        <w:t xml:space="preserve">Comment séparer les composants d'une application sur trois niveaux réseau ?</w:t>
      </w:r>
    </w:p>
    <w:p>
      <w:pPr>
        <w:pStyle w:val="ListParagraph"/>
        <w:numPr>
          <w:ilvl w:val="0"/>
          <w:numId w:val="2"/>
        </w:numPr>
      </w:pPr>
      <w:r>
        <w:t xml:space="preserve">Comment offrir un point d'entrée unique et remplacer automatiquement une instance défaillante ?</w:t>
      </w:r>
    </w:p>
    <w:p>
      <w:pPr>
        <w:pStyle w:val="ListParagraph"/>
        <w:numPr>
          <w:ilvl w:val="0"/>
          <w:numId w:val="2"/>
        </w:numPr>
      </w:pPr>
      <w:r>
        <w:t xml:space="preserve">Comment isoler et sauvegarder une base de données sans l'exposer à Internet ?</w:t>
      </w:r>
    </w:p>
    <w:p>
      <w:pPr>
        <w:pStyle w:val="ListParagraph"/>
        <w:numPr>
          <w:ilvl w:val="0"/>
          <w:numId w:val="2"/>
        </w:numPr>
      </w:pPr>
      <w:r>
        <w:t xml:space="preserve">Comment reproduire et détruire l'infrastructure par code tout en maîtrisant les coûts ?</w:t>
      </w:r>
    </w:p>
    <w:p>
      <w:pPr>
        <w:pStyle w:val="ListParagraph"/>
        <w:numPr>
          <w:ilvl w:val="0"/>
          <w:numId w:val="2"/>
        </w:numPr>
      </w:pPr>
      <w:r>
        <w:t xml:space="preserve">Comment observer l'état du service et prouver le comportement attendu lors d'un incident ?</w:t>
      </w:r>
    </w:p>
    <w:p>
      <w:pPr>
        <w:pStyle w:val="Heading2"/>
      </w:pPr>
      <w:r>
        <w:t xml:space="preserve">4. Présentation du produit</w:t>
      </w:r>
    </w:p>
    <w:p>
      <w:pPr>
        <w:pStyle w:val="Heading3"/>
      </w:pPr>
      <w:r>
        <w:t xml:space="preserve">4.1 Application retenue : CineTrekker</w:t>
      </w:r>
    </w:p>
    <w:p>
      <w:pPr/>
      <w:r>
        <w:t xml:space="preserve">CineTrekker est une plateforme web cinéphile permettant l'exploration, le suivi de visionnage et la recommandation de films et de séries. L'application existante sert de charge de travail pour valider l'infrastructure ; son développement fonctionnel n'est pas le périmètre principal de l'évaluation.</w:t>
      </w:r>
    </w:p>
    <w:p>
      <w:pPr/>
      <w:r>
        <w:rPr>
          <w:b/>
        </w:rPr>
        <w:t xml:space="preserve">Fonctionnalités principales</w:t>
      </w:r>
    </w:p>
    <w:p>
      <w:pPr>
        <w:pStyle w:val="ListParagraph"/>
        <w:numPr>
          <w:ilvl w:val="0"/>
          <w:numId w:val="3"/>
        </w:numPr>
      </w:pPr>
      <w:r>
        <w:t xml:space="preserve">Exploration multi-critères (tendances, genres, notes, dates de sortie) via l'API TMDB.</w:t>
      </w:r>
    </w:p>
    <w:p>
      <w:pPr>
        <w:pStyle w:val="ListParagraph"/>
        <w:numPr>
          <w:ilvl w:val="0"/>
          <w:numId w:val="3"/>
        </w:numPr>
      </w:pPr>
      <w:r>
        <w:t xml:space="preserve">Fiches détaillées : synopsis, casting, bandes-annonces, notes critiques.</w:t>
      </w:r>
    </w:p>
    <w:p>
      <w:pPr>
        <w:pStyle w:val="ListParagraph"/>
        <w:numPr>
          <w:ilvl w:val="0"/>
          <w:numId w:val="3"/>
        </w:numPr>
      </w:pPr>
      <w:r>
        <w:t xml:space="preserve">Suivi personnel : Watchlist, Déjà vu, Favoris, suivi d'épisodes par saison.</w:t>
      </w:r>
    </w:p>
    <w:p>
      <w:pPr>
        <w:pStyle w:val="ListParagraph"/>
        <w:numPr>
          <w:ilvl w:val="0"/>
          <w:numId w:val="3"/>
        </w:numPr>
      </w:pPr>
      <w:r>
        <w:t xml:space="preserve">Endpoint de santé </w:t>
      </w:r>
      <w:r>
        <w:rPr>
          <w:rStyle w:val="CodeChar"/>
        </w:rPr>
        <w:t xml:space="preserve">/health</w:t>
      </w:r>
      <w:r>
        <w:t xml:space="preserve"> répondant HTTP 200 en JSON, utilisé par l'ALB.</w:t>
      </w:r>
    </w:p>
    <w:p>
      <w:pPr>
        <w:pStyle w:val="ListParagraph"/>
        <w:numPr>
          <w:ilvl w:val="0"/>
          <w:numId w:val="3"/>
        </w:numPr>
      </w:pPr>
      <w:r>
        <w:t xml:space="preserve">Proxy API interne </w:t>
      </w:r>
      <w:r>
        <w:rPr>
          <w:rStyle w:val="CodeChar"/>
        </w:rPr>
        <w:t xml:space="preserve">/api/tmdb-proxy</w:t>
      </w:r>
      <w:r>
        <w:t xml:space="preserve"> sécurisant les requêtes sortantes.</w:t>
      </w:r>
    </w:p>
    <w:p>
      <w:pPr>
        <w:pStyle w:val="Heading3"/>
      </w:pPr>
      <w:r>
        <w:t xml:space="preserve">4.2 Composants</w:t>
      </w:r>
    </w:p>
    <w:tbl>
      <w:tblPr>
        <w:tblStyle w:val="TableGrid"/>
        <w:tblW w:w="0" w:type="auto"/>
        <w:tblLayout w:type="fixed"/>
        <w:tblLook w:val="04A0" w:firstRow="1" w:lastRow="0" w:firstColumn="0" w:lastColumn="0" w:noHBand="0" w:noVBand="1"/>
      </w:tblPr>
      <w:tblGrid>
        <w:gridCol w:w="1543"/>
        <w:gridCol w:w="2937"/>
        <w:gridCol w:w="3286"/>
        <w:gridCol w:w="1594"/>
      </w:tblGrid>
      <w:tr>
        <w:trPr>
          <w:tblHeader/>
        </w:trPr>
        <w:tc>
          <w:tcPr>
            <w:tcW w:w="1543" w:type="dxa"/>
            <w:shd w:val="clear" w:color="auto" w:fill="F2F2F2"/>
          </w:tcPr>
          <w:p>
            <w:pPr/>
            <w:r>
              <w:t xml:space="preserve">Composant</w:t>
            </w:r>
          </w:p>
        </w:tc>
        <w:tc>
          <w:tcPr>
            <w:tcW w:w="2937" w:type="dxa"/>
            <w:shd w:val="clear" w:color="auto" w:fill="F2F2F2"/>
          </w:tcPr>
          <w:p>
            <w:pPr/>
            <w:r>
              <w:t xml:space="preserve">Technologie / service</w:t>
            </w:r>
          </w:p>
        </w:tc>
        <w:tc>
          <w:tcPr>
            <w:tcW w:w="3286" w:type="dxa"/>
            <w:shd w:val="clear" w:color="auto" w:fill="F2F2F2"/>
          </w:tcPr>
          <w:p>
            <w:pPr/>
            <w:r>
              <w:t xml:space="preserve">Responsabilité</w:t>
            </w:r>
          </w:p>
        </w:tc>
        <w:tc>
          <w:tcPr>
            <w:tcW w:w="1594" w:type="dxa"/>
            <w:shd w:val="clear" w:color="auto" w:fill="F2F2F2"/>
          </w:tcPr>
          <w:p>
            <w:pPr/>
            <w:r>
              <w:t xml:space="preserve">État</w:t>
            </w:r>
          </w:p>
        </w:tc>
      </w:tr>
      <w:tr>
        <w:tc>
          <w:tcPr>
            <w:tcW w:w="1543" w:type="dxa"/>
          </w:tcPr>
          <w:p>
            <w:pPr/>
            <w:r>
              <w:t xml:space="preserve">Interface web</w:t>
            </w:r>
          </w:p>
        </w:tc>
        <w:tc>
          <w:tcPr>
            <w:tcW w:w="2937" w:type="dxa"/>
          </w:tcPr>
          <w:p>
            <w:pPr/>
            <w:r>
              <w:t xml:space="preserve">React 19, TypeScript, Vite, Tailwind CSS, Radix UI</w:t>
            </w:r>
          </w:p>
        </w:tc>
        <w:tc>
          <w:tcPr>
            <w:tcW w:w="3286" w:type="dxa"/>
          </w:tcPr>
          <w:p>
            <w:pPr/>
            <w:r>
              <w:t xml:space="preserve">SPA statique compilée (</w:t>
            </w:r>
            <w:r>
              <w:rPr>
                <w:rStyle w:val="CodeChar"/>
              </w:rPr>
              <w:t xml:space="preserve">app/dist/</w:t>
            </w:r>
            <w:r>
              <w:t xml:space="preserve">)</w:t>
            </w:r>
          </w:p>
        </w:tc>
        <w:tc>
          <w:tcPr>
            <w:tcW w:w="1594" w:type="dxa"/>
          </w:tcPr>
          <w:p>
            <w:pPr/>
            <w:r>
              <w:t xml:space="preserve">Réalisé</w:t>
            </w:r>
          </w:p>
        </w:tc>
      </w:tr>
      <w:tr>
        <w:tc>
          <w:tcPr>
            <w:tcW w:w="1543" w:type="dxa"/>
          </w:tcPr>
          <w:p>
            <w:pPr/>
            <w:r>
              <w:t xml:space="preserve">Serveur applicatif</w:t>
            </w:r>
          </w:p>
        </w:tc>
        <w:tc>
          <w:tcPr>
            <w:tcW w:w="2937" w:type="dxa"/>
          </w:tcPr>
          <w:p>
            <w:pPr/>
            <w:r>
              <w:t xml:space="preserve">Node.js ESM natif (</w:t>
            </w:r>
            <w:r>
              <w:rPr>
                <w:rStyle w:val="CodeChar"/>
              </w:rPr>
              <w:t xml:space="preserve">app/server.js</w:t>
            </w:r>
            <w:r>
              <w:t xml:space="preserve">), port 8080, service systemd </w:t>
            </w:r>
            <w:r>
              <w:rPr>
                <w:rStyle w:val="CodeChar"/>
              </w:rPr>
              <w:t xml:space="preserve">cinetrekker.service</w:t>
            </w:r>
          </w:p>
        </w:tc>
        <w:tc>
          <w:tcPr>
            <w:tcW w:w="3286" w:type="dxa"/>
          </w:tcPr>
          <w:p>
            <w:pPr/>
            <w:r>
              <w:t xml:space="preserve">Servir la SPA, </w:t>
            </w:r>
            <w:r>
              <w:rPr>
                <w:rStyle w:val="CodeChar"/>
              </w:rPr>
              <w:t xml:space="preserve">/health</w:t>
            </w:r>
            <w:r>
              <w:t xml:space="preserve">, </w:t>
            </w:r>
            <w:r>
              <w:rPr>
                <w:rStyle w:val="CodeChar"/>
              </w:rPr>
              <w:t xml:space="preserve">/api/tmdb-proxy</w:t>
            </w:r>
          </w:p>
        </w:tc>
        <w:tc>
          <w:tcPr>
            <w:tcW w:w="1594" w:type="dxa"/>
          </w:tcPr>
          <w:p>
            <w:pPr/>
            <w:r>
              <w:t xml:space="preserve">Réalisé</w:t>
            </w:r>
          </w:p>
        </w:tc>
      </w:tr>
      <w:tr>
        <w:tc>
          <w:tcPr>
            <w:tcW w:w="1543" w:type="dxa"/>
          </w:tcPr>
          <w:p>
            <w:pPr/>
            <w:r>
              <w:t xml:space="preserve">Stockage objet</w:t>
            </w:r>
          </w:p>
        </w:tc>
        <w:tc>
          <w:tcPr>
            <w:tcW w:w="2937" w:type="dxa"/>
          </w:tcPr>
          <w:p>
            <w:pPr/>
            <w:r>
              <w:t xml:space="preserve">Amazon S3 (SSE-S3)</w:t>
            </w:r>
          </w:p>
        </w:tc>
        <w:tc>
          <w:tcPr>
            <w:tcW w:w="3286" w:type="dxa"/>
          </w:tcPr>
          <w:p>
            <w:pPr/>
            <w:r>
              <w:t xml:space="preserve">Héberger l'artefact </w:t>
            </w:r>
            <w:r>
              <w:rPr>
                <w:rStyle w:val="CodeChar"/>
              </w:rPr>
              <w:t xml:space="preserve">cinetrekker.tar.gz</w:t>
            </w:r>
            <w:r>
              <w:t xml:space="preserve"> et, au besoin, des objets explicitement prévus</w:t>
            </w:r>
          </w:p>
        </w:tc>
        <w:tc>
          <w:tcPr>
            <w:tcW w:w="1594" w:type="dxa"/>
          </w:tcPr>
          <w:p>
            <w:pPr/>
            <w:r>
              <w:t xml:space="preserve">Réalisé</w:t>
            </w:r>
          </w:p>
        </w:tc>
      </w:tr>
      <w:tr>
        <w:tc>
          <w:tcPr>
            <w:tcW w:w="1543" w:type="dxa"/>
          </w:tcPr>
          <w:p>
            <w:pPr/>
            <w:r>
              <w:t xml:space="preserve">Persistance relationnelle</w:t>
            </w:r>
          </w:p>
        </w:tc>
        <w:tc>
          <w:tcPr>
            <w:tcW w:w="2937" w:type="dxa"/>
          </w:tcPr>
          <w:p>
            <w:pPr/>
            <w:r>
              <w:t xml:space="preserve">Amazon RDS PostgreSQL</w:t>
            </w:r>
          </w:p>
        </w:tc>
        <w:tc>
          <w:tcPr>
            <w:tcW w:w="3286" w:type="dxa"/>
          </w:tcPr>
          <w:p>
            <w:pPr/>
            <w:r>
              <w:t xml:space="preserve">Données persistantes nécessitant une base relationnelle</w:t>
            </w:r>
          </w:p>
        </w:tc>
        <w:tc>
          <w:tcPr>
            <w:tcW w:w="1594" w:type="dxa"/>
          </w:tcPr>
          <w:p>
            <w:pPr/>
            <w:r>
              <w:t xml:space="preserve">Planifié (L5)</w:t>
            </w:r>
          </w:p>
        </w:tc>
      </w:tr>
    </w:tbl>
    <w:p>
      <w:pPr/>
      <w:r>
        <w:t xml:space="preserve">Les instances applicatives doivent rester aussi stateless que possible : aucune donnée métier durable ne dépend du disque local d'une instance EC2.</w:t>
      </w:r>
    </w:p>
    <w:p>
      <w:pPr>
        <w:pStyle w:val="Heading2"/>
      </w:pPr>
      <w:r>
        <w:t xml:space="preserve">5. Objectifs et critères de réussite</w:t>
      </w:r>
    </w:p>
    <w:p>
      <w:pPr/>
      <w:r>
        <w:t xml:space="preserve">Ces objectifs sont proposés par l'équipe ; ils deviennent contractuels après validation du sujet et doivent être corroborés par des mesures.</w:t>
      </w:r>
    </w:p>
    <w:tbl>
      <w:tblPr>
        <w:tblStyle w:val="TableGrid"/>
        <w:tblW w:w="0" w:type="auto"/>
        <w:tblLayout w:type="fixed"/>
        <w:tblLook w:val="04A0" w:firstRow="1" w:lastRow="0" w:firstColumn="0" w:lastColumn="0" w:noHBand="0" w:noVBand="1"/>
      </w:tblPr>
      <w:tblGrid>
        <w:gridCol w:w="1780"/>
        <w:gridCol w:w="4196"/>
        <w:gridCol w:w="3384"/>
      </w:tblGrid>
      <w:tr>
        <w:trPr>
          <w:tblHeader/>
        </w:trPr>
        <w:tc>
          <w:tcPr>
            <w:tcW w:w="1780" w:type="dxa"/>
            <w:shd w:val="clear" w:color="auto" w:fill="F2F2F2"/>
          </w:tcPr>
          <w:p>
            <w:pPr/>
            <w:r>
              <w:t xml:space="preserve">Objectif</w:t>
            </w:r>
          </w:p>
        </w:tc>
        <w:tc>
          <w:tcPr>
            <w:tcW w:w="4196" w:type="dxa"/>
            <w:shd w:val="clear" w:color="auto" w:fill="F2F2F2"/>
          </w:tcPr>
          <w:p>
            <w:pPr/>
            <w:r>
              <w:t xml:space="preserve">Cible</w:t>
            </w:r>
          </w:p>
        </w:tc>
        <w:tc>
          <w:tcPr>
            <w:tcW w:w="3384" w:type="dxa"/>
            <w:shd w:val="clear" w:color="auto" w:fill="F2F2F2"/>
          </w:tcPr>
          <w:p>
            <w:pPr/>
            <w:r>
              <w:t xml:space="preserve">Preuve attendue</w:t>
            </w:r>
          </w:p>
        </w:tc>
      </w:tr>
      <w:tr>
        <w:tc>
          <w:tcPr>
            <w:tcW w:w="1780" w:type="dxa"/>
          </w:tcPr>
          <w:p>
            <w:pPr/>
            <w:r>
              <w:t xml:space="preserve">Disponibilité lors de la perte d'une instance applicative</w:t>
            </w:r>
          </w:p>
        </w:tc>
        <w:tc>
          <w:tcPr>
            <w:tcW w:w="4196" w:type="dxa"/>
          </w:tcPr>
          <w:p>
            <w:pPr/>
            <w:r>
              <w:t xml:space="preserve">Service accessible, aucune erreur 5xx attribuable à l'incident ; instance remplacée en moins de 5 minutes</w:t>
            </w:r>
          </w:p>
        </w:tc>
        <w:tc>
          <w:tcPr>
            <w:tcW w:w="3384" w:type="dxa"/>
          </w:tcPr>
          <w:p>
            <w:pPr/>
            <w:r>
              <w:t xml:space="preserve">Flux de requêtes continu, état des cibles ALB, événements de l'ASG</w:t>
            </w:r>
          </w:p>
        </w:tc>
      </w:tr>
      <w:tr>
        <w:tc>
          <w:tcPr>
            <w:tcW w:w="1780" w:type="dxa"/>
          </w:tcPr>
          <w:p>
            <w:pPr/>
            <w:r>
              <w:t xml:space="preserve">Charge nominale</w:t>
            </w:r>
          </w:p>
        </w:tc>
        <w:tc>
          <w:tcPr>
            <w:tcW w:w="4196" w:type="dxa"/>
          </w:tcPr>
          <w:p>
            <w:pPr/>
            <w:r>
              <w:t xml:space="preserve">20 utilisateurs simultanés</w:t>
            </w:r>
          </w:p>
        </w:tc>
        <w:tc>
          <w:tcPr>
            <w:tcW w:w="3384" w:type="dxa"/>
          </w:tcPr>
          <w:p>
            <w:pPr/>
            <w:r>
              <w:t xml:space="preserve">Résultat de test : durée, taux d'erreurs, latences</w:t>
            </w:r>
          </w:p>
        </w:tc>
      </w:tr>
      <w:tr>
        <w:tc>
          <w:tcPr>
            <w:tcW w:w="1780" w:type="dxa"/>
          </w:tcPr>
          <w:p>
            <w:pPr/>
            <w:r>
              <w:t xml:space="preserve">Charge de pointe visée</w:t>
            </w:r>
          </w:p>
        </w:tc>
        <w:tc>
          <w:tcPr>
            <w:tcW w:w="4196" w:type="dxa"/>
          </w:tcPr>
          <w:p>
            <w:pPr/>
            <w:r>
              <w:t xml:space="preserve">Jusqu'à 100 utilisateurs simultanés ; objectif exploratoire de 150 requêtes/s et latence moyenne &lt; 150 ms</w:t>
            </w:r>
          </w:p>
        </w:tc>
        <w:tc>
          <w:tcPr>
            <w:tcW w:w="3384" w:type="dxa"/>
          </w:tcPr>
          <w:p>
            <w:pPr/>
            <w:r>
              <w:t xml:space="preserve">Résultat de test, environnement, limites, métriques CloudWatch</w:t>
            </w:r>
          </w:p>
        </w:tc>
      </w:tr>
      <w:tr>
        <w:tc>
          <w:tcPr>
            <w:tcW w:w="1780" w:type="dxa"/>
          </w:tcPr>
          <w:p>
            <w:pPr/>
            <w:r>
              <w:t xml:space="preserve">Reconstruction complète</w:t>
            </w:r>
          </w:p>
        </w:tc>
        <w:tc>
          <w:tcPr>
            <w:tcW w:w="4196" w:type="dxa"/>
          </w:tcPr>
          <w:p>
            <w:pPr/>
            <w:r>
              <w:t xml:space="preserve">Moins de 20 minutes, hors attente imprévisible des services AWS (mesure actuelle du dépôt : 2 à 3 minutes pour le périmètre L1-L3)</w:t>
            </w:r>
          </w:p>
        </w:tc>
        <w:tc>
          <w:tcPr>
            <w:tcW w:w="3384" w:type="dxa"/>
          </w:tcPr>
          <w:p>
            <w:pPr/>
            <w:r>
              <w:t xml:space="preserve">Chronométrage destruction puis déploiement depuis le dépôt</w:t>
            </w:r>
          </w:p>
        </w:tc>
      </w:tr>
      <w:tr>
        <w:tc>
          <w:tcPr>
            <w:tcW w:w="1780" w:type="dxa"/>
          </w:tcPr>
          <w:p>
            <w:pPr/>
            <w:r>
              <w:t xml:space="preserve">Destruction complète</w:t>
            </w:r>
          </w:p>
        </w:tc>
        <w:tc>
          <w:tcPr>
            <w:tcW w:w="4196" w:type="dxa"/>
          </w:tcPr>
          <w:p>
            <w:pPr/>
            <w:r>
              <w:t xml:space="preserve">Moins de 3 minutes (mesure actuelle L1-L3)</w:t>
            </w:r>
          </w:p>
        </w:tc>
        <w:tc>
          <w:tcPr>
            <w:tcW w:w="3384" w:type="dxa"/>
          </w:tcPr>
          <w:p>
            <w:pPr/>
            <w:r>
              <w:t xml:space="preserve">Sortie </w:t>
            </w:r>
            <w:r>
              <w:rPr>
                <w:rStyle w:val="CodeChar"/>
              </w:rPr>
              <w:t xml:space="preserve">Destroy complete! Resources: N destroyed.</w:t>
            </w:r>
            <w:r>
              <w:t xml:space="preserve"> et inventaire vérifié</w:t>
            </w:r>
          </w:p>
        </w:tc>
      </w:tr>
      <w:tr>
        <w:tc>
          <w:tcPr>
            <w:tcW w:w="1780" w:type="dxa"/>
          </w:tcPr>
          <w:p>
            <w:pPr/>
            <w:r>
              <w:t xml:space="preserve">Protection des données</w:t>
            </w:r>
          </w:p>
        </w:tc>
        <w:tc>
          <w:tcPr>
            <w:tcW w:w="4196" w:type="dxa"/>
          </w:tcPr>
          <w:p>
            <w:pPr/>
            <w:r>
              <w:t xml:space="preserve">RPO visé : 24 h ; RTO visé : &lt; 15 min pour le scénario de restauration retenu</w:t>
            </w:r>
          </w:p>
        </w:tc>
        <w:tc>
          <w:tcPr>
            <w:tcW w:w="3384" w:type="dxa"/>
          </w:tcPr>
          <w:p>
            <w:pPr/>
            <w:r>
              <w:t xml:space="preserve">Sauvegarde identifiée, restauration exécutée, durée mesurée</w:t>
            </w:r>
          </w:p>
        </w:tc>
      </w:tr>
      <w:tr>
        <w:tc>
          <w:tcPr>
            <w:tcW w:w="1780" w:type="dxa"/>
          </w:tcPr>
          <w:p>
            <w:pPr/>
            <w:r>
              <w:t xml:space="preserve">Coût du projet</w:t>
            </w:r>
          </w:p>
        </w:tc>
        <w:tc>
          <w:tcPr>
            <w:tcW w:w="4196" w:type="dxa"/>
          </w:tcPr>
          <w:p>
            <w:pPr/>
            <w:r>
              <w:t xml:space="preserve">Cible d'équipe &lt; 35 USD sur le semestre, sans dépasser le crédit de 50 USD</w:t>
            </w:r>
          </w:p>
        </w:tc>
        <w:tc>
          <w:tcPr>
            <w:tcW w:w="3384" w:type="dxa"/>
          </w:tcPr>
          <w:p>
            <w:pPr/>
            <w:r>
              <w:t xml:space="preserve">Estimations, relevés réguliers, journal de destruction, facturation</w:t>
            </w:r>
          </w:p>
        </w:tc>
      </w:tr>
    </w:tbl>
    <w:p>
      <w:pPr/>
      <w:r>
        <w:t xml:space="preserve">Les cibles de performance ne constituent pas une garantie de capacité de deux instances t3.micro. Elles sont vérifiées dans le contexte réel du Learner Lab ; tout écart est rapporté avec ses mesures et son analyse.</w:t>
      </w:r>
    </w:p>
    <w:p>
      <w:pPr>
        <w:pStyle w:val="Heading2"/>
      </w:pPr>
      <w:r>
        <w:t xml:space="preserve">6. Périmètre</w:t>
      </w:r>
    </w:p>
    <w:p>
      <w:pPr>
        <w:pStyle w:val="Heading3"/>
      </w:pPr>
      <w:r>
        <w:t xml:space="preserve">6.1 Inclus</w:t>
      </w:r>
    </w:p>
    <w:p>
      <w:pPr>
        <w:pStyle w:val="ListParagraph"/>
        <w:numPr>
          <w:ilvl w:val="0"/>
          <w:numId w:val="4"/>
        </w:numPr>
      </w:pPr>
      <w:r>
        <w:t xml:space="preserve">Architecture AWS 3-tiers répartie sur au moins deux zones de disponibilité.</w:t>
      </w:r>
    </w:p>
    <w:p>
      <w:pPr>
        <w:pStyle w:val="ListParagraph"/>
        <w:numPr>
          <w:ilvl w:val="0"/>
          <w:numId w:val="4"/>
        </w:numPr>
      </w:pPr>
      <w:r>
        <w:t xml:space="preserve">Déploiement de l'infrastructure par Terraform.</w:t>
      </w:r>
    </w:p>
    <w:p>
      <w:pPr>
        <w:pStyle w:val="ListParagraph"/>
        <w:numPr>
          <w:ilvl w:val="0"/>
          <w:numId w:val="4"/>
        </w:numPr>
      </w:pPr>
      <w:r>
        <w:t xml:space="preserve">Publication de CineTrekker derrière un ALB.</w:t>
      </w:r>
    </w:p>
    <w:p>
      <w:pPr>
        <w:pStyle w:val="ListParagraph"/>
        <w:numPr>
          <w:ilvl w:val="0"/>
          <w:numId w:val="4"/>
        </w:numPr>
      </w:pPr>
      <w:r>
        <w:t xml:space="preserve">Remplacement automatique des instances applicatives par Auto Scaling.</w:t>
      </w:r>
    </w:p>
    <w:p>
      <w:pPr>
        <w:pStyle w:val="ListParagraph"/>
        <w:numPr>
          <w:ilvl w:val="0"/>
          <w:numId w:val="4"/>
        </w:numPr>
      </w:pPr>
      <w:r>
        <w:t xml:space="preserve">Base PostgreSQL privée, procédures de sauvegarde et de restauration.</w:t>
      </w:r>
    </w:p>
    <w:p>
      <w:pPr>
        <w:pStyle w:val="ListParagraph"/>
        <w:numPr>
          <w:ilvl w:val="0"/>
          <w:numId w:val="4"/>
        </w:numPr>
      </w:pPr>
      <w:r>
        <w:t xml:space="preserve">Stockage S3 privé pour un usage réel du projet.</w:t>
      </w:r>
    </w:p>
    <w:p>
      <w:pPr>
        <w:pStyle w:val="ListParagraph"/>
        <w:numPr>
          <w:ilvl w:val="0"/>
          <w:numId w:val="4"/>
        </w:numPr>
      </w:pPr>
      <w:r>
        <w:t xml:space="preserve">Journaux centralisés, tableau de bord et au moins deux alarmes démontrables.</w:t>
      </w:r>
    </w:p>
    <w:p>
      <w:pPr>
        <w:pStyle w:val="ListParagraph"/>
        <w:numPr>
          <w:ilvl w:val="0"/>
          <w:numId w:val="4"/>
        </w:numPr>
      </w:pPr>
      <w:r>
        <w:t xml:space="preserve">Gestion documentée des identifiants AWS temporaires et des secrets applicatifs.</w:t>
      </w:r>
    </w:p>
    <w:p>
      <w:pPr>
        <w:pStyle w:val="ListParagraph"/>
        <w:numPr>
          <w:ilvl w:val="0"/>
          <w:numId w:val="4"/>
        </w:numPr>
      </w:pPr>
      <w:r>
        <w:t xml:space="preserve">Procédures de déploiement, de mise à jour, d'exploitation et de destruction.</w:t>
      </w:r>
    </w:p>
    <w:p>
      <w:pPr>
        <w:pStyle w:val="ListParagraph"/>
        <w:numPr>
          <w:ilvl w:val="0"/>
          <w:numId w:val="4"/>
        </w:numPr>
      </w:pPr>
      <w:r>
        <w:t xml:space="preserve">Tests de charge, de résilience, de restauration et de conformité ; suivi des coûts, des essais et des incidents.</w:t>
      </w:r>
    </w:p>
    <w:p>
      <w:pPr>
        <w:pStyle w:val="Heading3"/>
      </w:pPr>
      <w:r>
        <w:t xml:space="preserve">6.2 Hors périmètre</w:t>
      </w:r>
    </w:p>
    <w:p>
      <w:pPr>
        <w:pStyle w:val="ListParagraph"/>
        <w:numPr>
          <w:ilvl w:val="0"/>
          <w:numId w:val="5"/>
        </w:numPr>
      </w:pPr>
      <w:r>
        <w:t xml:space="preserve">La construction d'une application métier complexe ou le remplacement de toutes ses fonctionnalités.</w:t>
      </w:r>
    </w:p>
    <w:p>
      <w:pPr>
        <w:pStyle w:val="ListParagraph"/>
        <w:numPr>
          <w:ilvl w:val="0"/>
          <w:numId w:val="5"/>
        </w:numPr>
      </w:pPr>
      <w:r>
        <w:t xml:space="preserve">La garantie d'une disponibilité de niveau production ou d'un SLA commercial.</w:t>
      </w:r>
    </w:p>
    <w:p>
      <w:pPr>
        <w:pStyle w:val="ListParagraph"/>
        <w:numPr>
          <w:ilvl w:val="0"/>
          <w:numId w:val="5"/>
        </w:numPr>
      </w:pPr>
      <w:r>
        <w:t xml:space="preserve">L'accès administrateur SSH ou RDP ouvert depuis Internet.</w:t>
      </w:r>
    </w:p>
    <w:p>
      <w:pPr>
        <w:pStyle w:val="ListParagraph"/>
        <w:numPr>
          <w:ilvl w:val="0"/>
          <w:numId w:val="5"/>
        </w:numPr>
      </w:pPr>
      <w:r>
        <w:t xml:space="preserve">Le Multi-AZ de RDS dans le scénario de base (coût).</w:t>
      </w:r>
    </w:p>
    <w:p>
      <w:pPr>
        <w:pStyle w:val="ListParagraph"/>
        <w:numPr>
          <w:ilvl w:val="0"/>
          <w:numId w:val="5"/>
        </w:numPr>
      </w:pPr>
      <w:r>
        <w:t xml:space="preserve">Les services AWS optionnels non validés par le cours ou le Learner Lab.</w:t>
      </w:r>
    </w:p>
    <w:p>
      <w:pPr>
        <w:pStyle w:val="ListParagraph"/>
        <w:numPr>
          <w:ilvl w:val="0"/>
          <w:numId w:val="5"/>
        </w:numPr>
      </w:pPr>
      <w:r>
        <w:t xml:space="preserve">La conservation de ressources facturées en continu après les séances de travail.</w:t>
      </w:r>
    </w:p>
    <w:p>
      <w:pPr/>
      <w:r>
        <w:t xml:space="preserve">Tout ajout de service optionnel doit être justifié, chiffré, autorisé dans le compte et documenté.</w:t>
      </w:r>
    </w:p>
    <w:p>
      <w:pPr>
        <w:pStyle w:val="Heading2"/>
      </w:pPr>
      <w:r>
        <w:t xml:space="preserve">7. Contraintes</w:t>
      </w:r>
    </w:p>
    <w:p>
      <w:pPr>
        <w:pStyle w:val="Heading3"/>
      </w:pPr>
      <w:r>
        <w:t xml:space="preserve">7.1 Contraintes AWS Academy</w:t>
      </w:r>
    </w:p>
    <w:p>
      <w:pPr>
        <w:pStyle w:val="ListParagraph"/>
        <w:numPr>
          <w:ilvl w:val="0"/>
          <w:numId w:val="6"/>
        </w:numPr>
      </w:pPr>
      <w:r>
        <w:t xml:space="preserve">Déploiement dans le compte Learner Lab désigné ; crédit de 50 USD par étudiant, le groupe suivant la consommation du compte effectivement utilisé.</w:t>
      </w:r>
    </w:p>
    <w:p>
      <w:pPr>
        <w:pStyle w:val="ListParagraph"/>
        <w:numPr>
          <w:ilvl w:val="0"/>
          <w:numId w:val="6"/>
        </w:numPr>
      </w:pPr>
      <w:r>
        <w:t xml:space="preserve">Région unique us-east-1, exprimée comme variable Terraform.</w:t>
      </w:r>
    </w:p>
    <w:p>
      <w:pPr>
        <w:pStyle w:val="ListParagraph"/>
        <w:numPr>
          <w:ilvl w:val="0"/>
          <w:numId w:val="6"/>
        </w:numPr>
      </w:pPr>
      <w:r>
        <w:t xml:space="preserve">Rôles imposés : </w:t>
      </w:r>
      <w:r>
        <w:rPr>
          <w:rStyle w:val="CodeChar"/>
        </w:rPr>
        <w:t xml:space="preserve">LabRole</w:t>
      </w:r>
      <w:r>
        <w:t xml:space="preserve"> et </w:t>
      </w:r>
      <w:r>
        <w:rPr>
          <w:rStyle w:val="CodeChar"/>
        </w:rPr>
        <w:t xml:space="preserve">LabInstanceProfile</w:t>
      </w:r>
      <w:r>
        <w:t xml:space="preserve">. La création de rôles personnalisés ne doit pas être présumée possible.</w:t>
      </w:r>
    </w:p>
    <w:p>
      <w:pPr>
        <w:pStyle w:val="ListParagraph"/>
        <w:numPr>
          <w:ilvl w:val="0"/>
          <w:numId w:val="6"/>
        </w:numPr>
      </w:pPr>
      <w:r>
        <w:t xml:space="preserve">Identifiants et jetons temporaires rechargés à chaque séance, jamais ajoutés au dépôt.</w:t>
      </w:r>
    </w:p>
    <w:p>
      <w:pPr>
        <w:pStyle w:val="ListParagraph"/>
        <w:numPr>
          <w:ilvl w:val="0"/>
          <w:numId w:val="6"/>
        </w:numPr>
      </w:pPr>
      <w:r>
        <w:t xml:space="preserve">Disponibilité des services et actions à vérifier dans le laboratoire avant toute dépendance bloquante.</w:t>
      </w:r>
    </w:p>
    <w:p>
      <w:pPr>
        <w:pStyle w:val="ListParagraph"/>
        <w:numPr>
          <w:ilvl w:val="0"/>
          <w:numId w:val="6"/>
        </w:numPr>
      </w:pPr>
      <w:r>
        <w:t xml:space="preserve">Ressources horaires (EC2, ALB, NAT, RDS) détruites à la fin de chaque séance, sauf autorisation explicite et suivi de coût.</w:t>
      </w:r>
    </w:p>
    <w:p>
      <w:pPr>
        <w:pStyle w:val="Heading3"/>
      </w:pPr>
      <w:r>
        <w:t xml:space="preserve">7.2 Infrastructure as Code et dépôt</w:t>
      </w:r>
    </w:p>
    <w:p>
      <w:pPr>
        <w:pStyle w:val="ListParagraph"/>
        <w:numPr>
          <w:ilvl w:val="0"/>
          <w:numId w:val="7"/>
        </w:numPr>
      </w:pPr>
      <w:r>
        <w:t xml:space="preserve">Terraform est l'outil d'IaC retenu ; toute ressource AWS gérée par le projet est déclarée dans le code versionné.</w:t>
      </w:r>
    </w:p>
    <w:p>
      <w:pPr>
        <w:pStyle w:val="ListParagraph"/>
        <w:numPr>
          <w:ilvl w:val="0"/>
          <w:numId w:val="7"/>
        </w:numPr>
      </w:pPr>
      <w:r>
        <w:t xml:space="preserve">Variables d'environnement et valeurs sensibles séparées du code partagé.</w:t>
      </w:r>
    </w:p>
    <w:p>
      <w:pPr>
        <w:pStyle w:val="ListParagraph"/>
        <w:numPr>
          <w:ilvl w:val="0"/>
          <w:numId w:val="7"/>
        </w:numPr>
      </w:pPr>
      <w:r>
        <w:t xml:space="preserve">Fichier d'état Terraform protégé, partagé selon une stratégie documentée, jamais commité en clair.</w:t>
      </w:r>
    </w:p>
    <w:p>
      <w:pPr>
        <w:pStyle w:val="ListParagraph"/>
        <w:numPr>
          <w:ilvl w:val="0"/>
          <w:numId w:val="7"/>
        </w:numPr>
      </w:pPr>
      <w:r>
        <w:t xml:space="preserve">Ressources préfixées </w:t>
      </w:r>
      <w:r>
        <w:rPr>
          <w:rStyle w:val="CodeChar"/>
        </w:rPr>
        <w:t xml:space="preserve">cinetrekker-dev-</w:t>
      </w:r>
      <w:r>
        <w:t xml:space="preserve"> et taguées (projet, environnement, géré par Terraform).</w:t>
      </w:r>
    </w:p>
    <w:p>
      <w:pPr>
        <w:pStyle w:val="ListParagraph"/>
        <w:numPr>
          <w:ilvl w:val="0"/>
          <w:numId w:val="7"/>
        </w:numPr>
      </w:pPr>
      <w:r>
        <w:t xml:space="preserve">Historique Git lisible et contributions réparties entre les cinq membres.</w:t>
      </w:r>
    </w:p>
    <w:p>
      <w:pPr>
        <w:pStyle w:val="Heading2"/>
      </w:pPr>
      <w:r>
        <w:t xml:space="preserve">8. Architecture technique</w:t>
      </w:r>
    </w:p>
    <w:p>
      <w:pPr>
        <w:pStyle w:val="Heading3"/>
      </w:pPr>
      <w:r>
        <w:t xml:space="preserve">8.1 Vue logique</w:t>
      </w:r>
    </w:p>
    <w:p>
      <w:pPr>
        <w:pStyle w:val="Code"/>
      </w:pPr>
      <w:r>
        <w:t xml:space="preserve">INTERNET</w:t>
        <w:br/>
        <w:t xml:space="preserve">   |  HTTP :80</w:t>
        <w:br/>
        <w:t xml:space="preserve">   v</w:t>
        <w:br/>
        <w:t xml:space="preserve">[ Internet Gateway ]</w:t>
        <w:br/>
        <w:t xml:space="preserve">   |</w:t>
        <w:br/>
        <w:t xml:space="preserve">   v</w:t>
        <w:br/>
        <w:t xml:space="preserve">[ ALB public — cinetrekker-dev-alb ]   alb-sg (port 80 public)</w:t>
        <w:br/>
        <w:t xml:space="preserve">   |  sous-réseaux publics 1a et 1b</w:t>
        <w:br/>
        <w:t xml:space="preserve">   |  HTTP :8080 (app-sg)</w:t>
        <w:br/>
        <w:t xml:space="preserve">   v</w:t>
        <w:br/>
        <w:t xml:space="preserve">[ ASG EC2 t3.micro, Node.js ]   sous-réseaux privés applicatifs 1a et 1b</w:t>
        <w:br/>
        <w:t xml:space="preserve">   |                      \</w:t>
        <w:br/>
        <w:t xml:space="preserve">   |                       \--&gt; S3 privé via VPC Gateway Endpoint</w:t>
        <w:br/>
        <w:t xml:space="preserve">   v</w:t>
        <w:br/>
        <w:t xml:space="preserve">[ RDS PostgreSQL ]   sous-réseaux privés de données (cible L5)</w:t>
        <w:br/>
        <w:br/>
        <w:t xml:space="preserve">EC2 applicatives --&gt; NAT Instance (nat-sg, sous-réseau public 1a)</w:t>
        <w:br/>
        <w:t xml:space="preserve">                 --&gt; Internet Gateway --&gt; API TMDB et dépôts de paquets</w:t>
        <w:br/>
        <w:br/>
        <w:t xml:space="preserve">EC2 / ALB / ASG / RDS --&gt; CloudWatch (journaux, métriques, alarmes, tableau de bord)</w:t>
      </w:r>
    </w:p>
    <w:p>
      <w:pPr>
        <w:pStyle w:val="Heading3"/>
      </w:pPr>
      <w:r>
        <w:t xml:space="preserve">8.2 Plan d'adressage (VPC 10.0.0.0/16, us-east-1)</w:t>
      </w:r>
    </w:p>
    <w:tbl>
      <w:tblPr>
        <w:tblStyle w:val="TableGrid"/>
        <w:tblW w:w="0" w:type="auto"/>
        <w:tblLayout w:type="fixed"/>
        <w:tblLook w:val="04A0" w:firstRow="1" w:lastRow="0" w:firstColumn="0" w:lastColumn="0" w:noHBand="0" w:noVBand="1"/>
      </w:tblPr>
      <w:tblGrid>
        <w:gridCol w:w="2454"/>
        <w:gridCol w:w="1306"/>
        <w:gridCol w:w="1543"/>
        <w:gridCol w:w="909"/>
        <w:gridCol w:w="3148"/>
      </w:tblGrid>
      <w:tr>
        <w:trPr>
          <w:tblHeader/>
        </w:trPr>
        <w:tc>
          <w:tcPr>
            <w:tcW w:w="2454" w:type="dxa"/>
            <w:shd w:val="clear" w:color="auto" w:fill="F2F2F2"/>
          </w:tcPr>
          <w:p>
            <w:pPr/>
            <w:r>
              <w:t xml:space="preserve">Sous-réseau</w:t>
            </w:r>
          </w:p>
        </w:tc>
        <w:tc>
          <w:tcPr>
            <w:tcW w:w="1306" w:type="dxa"/>
            <w:shd w:val="clear" w:color="auto" w:fill="F2F2F2"/>
          </w:tcPr>
          <w:p>
            <w:pPr/>
            <w:r>
              <w:t xml:space="preserve">AZ</w:t>
            </w:r>
          </w:p>
        </w:tc>
        <w:tc>
          <w:tcPr>
            <w:tcW w:w="1543" w:type="dxa"/>
            <w:shd w:val="clear" w:color="auto" w:fill="F2F2F2"/>
          </w:tcPr>
          <w:p>
            <w:pPr/>
            <w:r>
              <w:t xml:space="preserve">CIDR</w:t>
            </w:r>
          </w:p>
        </w:tc>
        <w:tc>
          <w:tcPr>
            <w:tcW w:w="909" w:type="dxa"/>
            <w:shd w:val="clear" w:color="auto" w:fill="F2F2F2"/>
          </w:tcPr>
          <w:p>
            <w:pPr/>
            <w:r>
              <w:t xml:space="preserve">Type</w:t>
            </w:r>
          </w:p>
        </w:tc>
        <w:tc>
          <w:tcPr>
            <w:tcW w:w="3148" w:type="dxa"/>
            <w:shd w:val="clear" w:color="auto" w:fill="F2F2F2"/>
          </w:tcPr>
          <w:p>
            <w:pPr/>
            <w:r>
              <w:t xml:space="preserve">Rôle</w:t>
            </w:r>
          </w:p>
        </w:tc>
      </w:tr>
      <w:tr>
        <w:tc>
          <w:tcPr>
            <w:tcW w:w="2454" w:type="dxa"/>
          </w:tcPr>
          <w:p>
            <w:pPr/>
            <w:r>
              <w:t xml:space="preserve">public-subnet-1a</w:t>
            </w:r>
          </w:p>
        </w:tc>
        <w:tc>
          <w:tcPr>
            <w:tcW w:w="1306" w:type="dxa"/>
          </w:tcPr>
          <w:p>
            <w:pPr/>
            <w:r>
              <w:t xml:space="preserve">us-east-1a</w:t>
            </w:r>
          </w:p>
        </w:tc>
        <w:tc>
          <w:tcPr>
            <w:tcW w:w="1543" w:type="dxa"/>
          </w:tcPr>
          <w:p>
            <w:pPr/>
            <w:r>
              <w:t xml:space="preserve">10.0.1.0/24</w:t>
            </w:r>
          </w:p>
        </w:tc>
        <w:tc>
          <w:tcPr>
            <w:tcW w:w="909" w:type="dxa"/>
          </w:tcPr>
          <w:p>
            <w:pPr/>
            <w:r>
              <w:t xml:space="preserve">Public</w:t>
            </w:r>
          </w:p>
        </w:tc>
        <w:tc>
          <w:tcPr>
            <w:tcW w:w="3148" w:type="dxa"/>
          </w:tcPr>
          <w:p>
            <w:pPr/>
            <w:r>
              <w:t xml:space="preserve">ALB et instance NAT</w:t>
            </w:r>
          </w:p>
        </w:tc>
      </w:tr>
      <w:tr>
        <w:tc>
          <w:tcPr>
            <w:tcW w:w="2454" w:type="dxa"/>
          </w:tcPr>
          <w:p>
            <w:pPr/>
            <w:r>
              <w:t xml:space="preserve">public-subnet-1b</w:t>
            </w:r>
          </w:p>
        </w:tc>
        <w:tc>
          <w:tcPr>
            <w:tcW w:w="1306" w:type="dxa"/>
          </w:tcPr>
          <w:p>
            <w:pPr/>
            <w:r>
              <w:t xml:space="preserve">us-east-1b</w:t>
            </w:r>
          </w:p>
        </w:tc>
        <w:tc>
          <w:tcPr>
            <w:tcW w:w="1543" w:type="dxa"/>
          </w:tcPr>
          <w:p>
            <w:pPr/>
            <w:r>
              <w:t xml:space="preserve">10.0.2.0/24</w:t>
            </w:r>
          </w:p>
        </w:tc>
        <w:tc>
          <w:tcPr>
            <w:tcW w:w="909" w:type="dxa"/>
          </w:tcPr>
          <w:p>
            <w:pPr/>
            <w:r>
              <w:t xml:space="preserve">Public</w:t>
            </w:r>
          </w:p>
        </w:tc>
        <w:tc>
          <w:tcPr>
            <w:tcW w:w="3148" w:type="dxa"/>
          </w:tcPr>
          <w:p>
            <w:pPr/>
            <w:r>
              <w:t xml:space="preserve">Nœud ALB zone B</w:t>
            </w:r>
          </w:p>
        </w:tc>
      </w:tr>
      <w:tr>
        <w:tc>
          <w:tcPr>
            <w:tcW w:w="2454" w:type="dxa"/>
          </w:tcPr>
          <w:p>
            <w:pPr/>
            <w:r>
              <w:t xml:space="preserve">private-app-subnet-1a</w:t>
            </w:r>
          </w:p>
        </w:tc>
        <w:tc>
          <w:tcPr>
            <w:tcW w:w="1306" w:type="dxa"/>
          </w:tcPr>
          <w:p>
            <w:pPr/>
            <w:r>
              <w:t xml:space="preserve">us-east-1a</w:t>
            </w:r>
          </w:p>
        </w:tc>
        <w:tc>
          <w:tcPr>
            <w:tcW w:w="1543" w:type="dxa"/>
          </w:tcPr>
          <w:p>
            <w:pPr/>
            <w:r>
              <w:t xml:space="preserve">10.0.11.0/24</w:t>
            </w:r>
          </w:p>
        </w:tc>
        <w:tc>
          <w:tcPr>
            <w:tcW w:w="909" w:type="dxa"/>
          </w:tcPr>
          <w:p>
            <w:pPr/>
            <w:r>
              <w:t xml:space="preserve">Privé</w:t>
            </w:r>
          </w:p>
        </w:tc>
        <w:tc>
          <w:tcPr>
            <w:tcW w:w="3148" w:type="dxa"/>
          </w:tcPr>
          <w:p>
            <w:pPr/>
            <w:r>
              <w:t xml:space="preserve">EC2 applicative A (ASG)</w:t>
            </w:r>
          </w:p>
        </w:tc>
      </w:tr>
      <w:tr>
        <w:tc>
          <w:tcPr>
            <w:tcW w:w="2454" w:type="dxa"/>
          </w:tcPr>
          <w:p>
            <w:pPr/>
            <w:r>
              <w:t xml:space="preserve">private-app-subnet-1b</w:t>
            </w:r>
          </w:p>
        </w:tc>
        <w:tc>
          <w:tcPr>
            <w:tcW w:w="1306" w:type="dxa"/>
          </w:tcPr>
          <w:p>
            <w:pPr/>
            <w:r>
              <w:t xml:space="preserve">us-east-1b</w:t>
            </w:r>
          </w:p>
        </w:tc>
        <w:tc>
          <w:tcPr>
            <w:tcW w:w="1543" w:type="dxa"/>
          </w:tcPr>
          <w:p>
            <w:pPr/>
            <w:r>
              <w:t xml:space="preserve">10.0.12.0/24</w:t>
            </w:r>
          </w:p>
        </w:tc>
        <w:tc>
          <w:tcPr>
            <w:tcW w:w="909" w:type="dxa"/>
          </w:tcPr>
          <w:p>
            <w:pPr/>
            <w:r>
              <w:t xml:space="preserve">Privé</w:t>
            </w:r>
          </w:p>
        </w:tc>
        <w:tc>
          <w:tcPr>
            <w:tcW w:w="3148" w:type="dxa"/>
          </w:tcPr>
          <w:p>
            <w:pPr/>
            <w:r>
              <w:t xml:space="preserve">EC2 applicative B (ASG)</w:t>
            </w:r>
          </w:p>
        </w:tc>
      </w:tr>
      <w:tr>
        <w:tc>
          <w:tcPr>
            <w:tcW w:w="2454" w:type="dxa"/>
          </w:tcPr>
          <w:p>
            <w:pPr/>
            <w:r>
              <w:t xml:space="preserve">private-db-subnet-1a</w:t>
            </w:r>
          </w:p>
        </w:tc>
        <w:tc>
          <w:tcPr>
            <w:tcW w:w="1306" w:type="dxa"/>
          </w:tcPr>
          <w:p>
            <w:pPr/>
            <w:r>
              <w:t xml:space="preserve">us-east-1a</w:t>
            </w:r>
          </w:p>
        </w:tc>
        <w:tc>
          <w:tcPr>
            <w:tcW w:w="1543" w:type="dxa"/>
          </w:tcPr>
          <w:p>
            <w:pPr/>
            <w:r>
              <w:t xml:space="preserve">10.0.21.0/24</w:t>
            </w:r>
          </w:p>
        </w:tc>
        <w:tc>
          <w:tcPr>
            <w:tcW w:w="909" w:type="dxa"/>
          </w:tcPr>
          <w:p>
            <w:pPr/>
            <w:r>
              <w:t xml:space="preserve">Isolé</w:t>
            </w:r>
          </w:p>
        </w:tc>
        <w:tc>
          <w:tcPr>
            <w:tcW w:w="3148" w:type="dxa"/>
          </w:tcPr>
          <w:p>
            <w:pPr/>
            <w:r>
              <w:t xml:space="preserve">Groupe de sous-réseaux RDS</w:t>
            </w:r>
          </w:p>
        </w:tc>
      </w:tr>
      <w:tr>
        <w:tc>
          <w:tcPr>
            <w:tcW w:w="2454" w:type="dxa"/>
          </w:tcPr>
          <w:p>
            <w:pPr/>
            <w:r>
              <w:t xml:space="preserve">private-db-subnet-1b</w:t>
            </w:r>
          </w:p>
        </w:tc>
        <w:tc>
          <w:tcPr>
            <w:tcW w:w="1306" w:type="dxa"/>
          </w:tcPr>
          <w:p>
            <w:pPr/>
            <w:r>
              <w:t xml:space="preserve">us-east-1b</w:t>
            </w:r>
          </w:p>
        </w:tc>
        <w:tc>
          <w:tcPr>
            <w:tcW w:w="1543" w:type="dxa"/>
          </w:tcPr>
          <w:p>
            <w:pPr/>
            <w:r>
              <w:t xml:space="preserve">10.0.22.0/24</w:t>
            </w:r>
          </w:p>
        </w:tc>
        <w:tc>
          <w:tcPr>
            <w:tcW w:w="909" w:type="dxa"/>
          </w:tcPr>
          <w:p>
            <w:pPr/>
            <w:r>
              <w:t xml:space="preserve">Isolé</w:t>
            </w:r>
          </w:p>
        </w:tc>
        <w:tc>
          <w:tcPr>
            <w:tcW w:w="3148" w:type="dxa"/>
          </w:tcPr>
          <w:p>
            <w:pPr/>
            <w:r>
              <w:t xml:space="preserve">Groupe de sous-réseaux RDS</w:t>
            </w:r>
          </w:p>
        </w:tc>
      </w:tr>
    </w:tbl>
    <w:p>
      <w:pPr/>
      <w:r>
        <w:t xml:space="preserve">Les zones et CIDR sont paramétrables dans Terraform. Le groupe de sous-réseaux RDS couvre deux zones même si l'instance du scénario budgétaire est Single-AZ.</w:t>
      </w:r>
    </w:p>
    <w:p>
      <w:pPr>
        <w:pStyle w:val="Heading3"/>
      </w:pPr>
      <w:r>
        <w:t xml:space="preserve">8.3 Routage</w:t>
      </w:r>
    </w:p>
    <w:p>
      <w:pPr>
        <w:pStyle w:val="ListParagraph"/>
        <w:numPr>
          <w:ilvl w:val="0"/>
          <w:numId w:val="8"/>
        </w:numPr>
      </w:pPr>
      <w:r>
        <w:t xml:space="preserve">Les sous-réseaux publics ont une route Internet via l'Internet Gateway.</w:t>
      </w:r>
    </w:p>
    <w:p>
      <w:pPr>
        <w:pStyle w:val="ListParagraph"/>
        <w:numPr>
          <w:ilvl w:val="0"/>
          <w:numId w:val="8"/>
        </w:numPr>
      </w:pPr>
      <w:r>
        <w:t xml:space="preserve">Les sous-réseaux applicatifs privés n'ont aucune connexion entrante directe ; leur sortie passe par l'instance NAT.</w:t>
      </w:r>
    </w:p>
    <w:p>
      <w:pPr>
        <w:pStyle w:val="ListParagraph"/>
        <w:numPr>
          <w:ilvl w:val="0"/>
          <w:numId w:val="8"/>
        </w:numPr>
      </w:pPr>
      <w:r>
        <w:t xml:space="preserve">L'accès S3 passe par un VPC Gateway Endpoint gratuit, sans transiter par la NAT.</w:t>
      </w:r>
    </w:p>
    <w:p>
      <w:pPr>
        <w:pStyle w:val="ListParagraph"/>
        <w:numPr>
          <w:ilvl w:val="0"/>
          <w:numId w:val="8"/>
        </w:numPr>
      </w:pPr>
      <w:r>
        <w:t xml:space="preserve">Les sous-réseaux de données n'ont pas de route Internet par défaut.</w:t>
      </w:r>
    </w:p>
    <w:p>
      <w:pPr>
        <w:pStyle w:val="Heading3"/>
      </w:pPr>
      <w:r>
        <w:t xml:space="preserve">8.4 Calcul et haute disponibilité</w:t>
      </w:r>
    </w:p>
    <w:p>
      <w:pPr>
        <w:pStyle w:val="ListParagraph"/>
        <w:numPr>
          <w:ilvl w:val="0"/>
          <w:numId w:val="9"/>
        </w:numPr>
      </w:pPr>
      <w:r>
        <w:t xml:space="preserve">Un ALB public est l'unique point d'entrée HTTP (port 80).</w:t>
      </w:r>
    </w:p>
    <w:p>
      <w:pPr>
        <w:pStyle w:val="ListParagraph"/>
        <w:numPr>
          <w:ilvl w:val="0"/>
          <w:numId w:val="9"/>
        </w:numPr>
      </w:pPr>
      <w:r>
        <w:t xml:space="preserve">Le Target Group vérifie </w:t>
      </w:r>
      <w:r>
        <w:rPr>
          <w:rStyle w:val="CodeChar"/>
        </w:rPr>
        <w:t xml:space="preserve">/health</w:t>
      </w:r>
      <w:r>
        <w:t xml:space="preserve"> sur le port 8080.</w:t>
      </w:r>
    </w:p>
    <w:p>
      <w:pPr>
        <w:pStyle w:val="ListParagraph"/>
        <w:numPr>
          <w:ilvl w:val="0"/>
          <w:numId w:val="9"/>
        </w:numPr>
      </w:pPr>
      <w:r>
        <w:t xml:space="preserve">Un Launch Template versionné définit l'image (Amazon Linux 2023), le type t3.micro, le volume EBS chiffré, le profil </w:t>
      </w:r>
      <w:r>
        <w:rPr>
          <w:rStyle w:val="CodeChar"/>
        </w:rPr>
        <w:t xml:space="preserve">LabInstanceProfile</w:t>
      </w:r>
      <w:r>
        <w:t xml:space="preserve"> et l'initialisation automatisée (téléchargement de l'artefact depuis S3, service systemd).</w:t>
      </w:r>
    </w:p>
    <w:p>
      <w:pPr>
        <w:pStyle w:val="ListParagraph"/>
        <w:numPr>
          <w:ilvl w:val="0"/>
          <w:numId w:val="9"/>
        </w:numPr>
      </w:pPr>
      <w:r>
        <w:t xml:space="preserve">L'ASG répartit les instances dans les deux sous-réseaux applicatifs. Capacité actuelle : minimum 1, souhaitée 2, maximum 4 (voir décision D-01, section 18).</w:t>
      </w:r>
    </w:p>
    <w:p>
      <w:pPr>
        <w:pStyle w:val="ListParagraph"/>
        <w:numPr>
          <w:ilvl w:val="0"/>
          <w:numId w:val="9"/>
        </w:numPr>
      </w:pPr>
      <w:r>
        <w:t xml:space="preserve">Aucune configuration manuelle après démarrage ; la mise à jour applicative suit une procédure contrôlée (rolling update) évitant l'interruption totale.</w:t>
      </w:r>
    </w:p>
    <w:p>
      <w:pPr>
        <w:pStyle w:val="Heading3"/>
      </w:pPr>
      <w:r>
        <w:t xml:space="preserve">8.5 Accès sortant : instance NAT plutôt que NAT Gateway (ADR-01)</w:t>
      </w:r>
    </w:p>
    <w:p>
      <w:pPr>
        <w:pStyle w:val="ListParagraph"/>
        <w:numPr>
          <w:ilvl w:val="0"/>
          <w:numId w:val="10"/>
        </w:numPr>
      </w:pPr>
      <w:r>
        <w:t xml:space="preserve">Instance EC2 t3.micro avec iptables MASQUERADE : 0,0104 $/h contre 0,045 $/h pour un NAT Gateway managé, soit environ 77 % d'économie.</w:t>
      </w:r>
    </w:p>
    <w:p>
      <w:pPr>
        <w:pStyle w:val="ListParagraph"/>
        <w:numPr>
          <w:ilvl w:val="0"/>
          <w:numId w:val="10"/>
        </w:numPr>
      </w:pPr>
      <w:r>
        <w:t xml:space="preserve">Suffisant pour le périmètre : paquets Linux et appels à l'API TMDB.</w:t>
      </w:r>
    </w:p>
    <w:p>
      <w:pPr>
        <w:pStyle w:val="ListParagraph"/>
        <w:numPr>
          <w:ilvl w:val="0"/>
          <w:numId w:val="10"/>
        </w:numPr>
      </w:pPr>
      <w:r>
        <w:t xml:space="preserve">Le trafic S3 n'emprunte pas la NAT.</w:t>
      </w:r>
    </w:p>
    <w:p>
      <w:pPr>
        <w:pStyle w:val="ListParagraph"/>
        <w:numPr>
          <w:ilvl w:val="0"/>
          <w:numId w:val="10"/>
        </w:numPr>
      </w:pPr>
      <w:r>
        <w:t xml:space="preserve">Risque assumé : point de défaillance unique, acceptable dans le cadre académique et documenté explicitement.</w:t>
      </w:r>
    </w:p>
    <w:p>
      <w:pPr>
        <w:pStyle w:val="Heading3"/>
      </w:pPr>
      <w:r>
        <w:t xml:space="preserve">8.6 Persistance et S3</w:t>
      </w:r>
    </w:p>
    <w:p>
      <w:pPr>
        <w:pStyle w:val="ListParagraph"/>
        <w:numPr>
          <w:ilvl w:val="0"/>
          <w:numId w:val="11"/>
        </w:numPr>
      </w:pPr>
      <w:r>
        <w:t>RDS PostgreSQL db.t3.micro en sous-réseaux privés isolés (10.0.21.0/24 et 10.0.22.0/24), non accessible publiquement. Configuration Single-AZ (multi_az = false dans Terraform) pour respecter le budget de 50 USD — le subnet group couvre les deux AZ comme exigé par AWS, mais une seule instance tourne en us-east-1a. Sauvegardes automatisées activées (backup_retention_period = 1 jour). Aucune réplication entre AZ dans le périmètre académique.</w:t>
      </w:r>
    </w:p>
    <w:p>
      <w:pPr>
        <w:pStyle w:val="ListParagraph"/>
        <w:numPr>
          <w:ilvl w:val="0"/>
          <w:numId w:val="11"/>
        </w:numPr>
      </w:pPr>
      <w:r>
        <w:t xml:space="preserve">Sauvegardes et snapshots identifiés, rétention limitée au besoin démontré, restauration testée.</w:t>
      </w:r>
    </w:p>
    <w:p>
      <w:pPr>
        <w:pStyle w:val="ListParagraph"/>
        <w:numPr>
          <w:ilvl w:val="0"/>
          <w:numId w:val="11"/>
        </w:numPr>
      </w:pPr>
      <w:r>
        <w:t xml:space="preserve">Le bucket S3 </w:t>
      </w:r>
      <w:r>
        <w:rPr>
          <w:rStyle w:val="CodeChar"/>
        </w:rPr>
        <w:t xml:space="preserve">cinetrekker-dev-artifacts-&lt;ID&gt;</w:t>
      </w:r>
      <w:r>
        <w:t xml:space="preserve"> bloque tout accès public et active le chiffrement SSE-S3 (AES-256). Usage minimal : artefact de déploiement ; tout autre usage est documenté et soumis à une politique d'accès limitée.</w:t>
      </w:r>
    </w:p>
    <w:p>
      <w:pPr>
        <w:pStyle w:val="Heading3"/>
      </w:pPr>
      <w:r>
        <w:t xml:space="preserve">8.7 Supervision (cible L6)</w:t>
      </w:r>
    </w:p>
    <w:p>
      <w:pPr>
        <w:pStyle w:val="ListParagraph"/>
        <w:numPr>
          <w:ilvl w:val="0"/>
          <w:numId w:val="12"/>
        </w:numPr>
      </w:pPr>
      <w:r>
        <w:t xml:space="preserve">Journaux applicatifs envoyés à CloudWatch Logs, rétention initiale d'un jour, à réviser.</w:t>
      </w:r>
    </w:p>
    <w:p>
      <w:pPr>
        <w:pStyle w:val="ListParagraph"/>
        <w:numPr>
          <w:ilvl w:val="0"/>
          <w:numId w:val="12"/>
        </w:numPr>
      </w:pPr>
      <w:r>
        <w:t xml:space="preserve">Tableau de bord : santé des cibles ALB, CPU des instances, indicateurs ASG et RDS disponibles.</w:t>
      </w:r>
    </w:p>
    <w:p>
      <w:pPr>
        <w:pStyle w:val="ListParagraph"/>
        <w:numPr>
          <w:ilvl w:val="0"/>
          <w:numId w:val="12"/>
        </w:numPr>
      </w:pPr>
      <w:r>
        <w:t xml:space="preserve">Au moins deux alarmes déclenchables en démonstration, par exemple </w:t>
      </w:r>
      <w:r>
        <w:rPr>
          <w:rStyle w:val="CodeChar"/>
        </w:rPr>
        <w:t xml:space="preserve">UnHealthyHostCount &gt;= 1</w:t>
      </w:r>
      <w:r>
        <w:t xml:space="preserve"> et </w:t>
      </w:r>
      <w:r>
        <w:rPr>
          <w:rStyle w:val="CodeChar"/>
        </w:rPr>
        <w:t xml:space="preserve">CPUUtilization &gt; 70 %</w:t>
      </w:r>
      <w:r>
        <w:t xml:space="preserve">, dont une testée en condition contrôlée avec état et résolution consignés.</w:t>
      </w:r>
    </w:p>
    <w:p>
      <w:pPr>
        <w:pStyle w:val="Heading3"/>
      </w:pPr>
      <w:r>
        <w:t xml:space="preserve">8.8 Justification des services selon cinq axes</w:t>
      </w:r>
    </w:p>
    <w:tbl>
      <w:tblPr>
        <w:tblStyle w:val="TableGrid"/>
        <w:tblW w:w="0" w:type="auto"/>
        <w:tblLayout w:type="fixed"/>
        <w:tblLook w:val="04A0" w:firstRow="1" w:lastRow="0" w:firstColumn="0" w:lastColumn="0" w:noHBand="0" w:noVBand="1"/>
      </w:tblPr>
      <w:tblGrid>
        <w:gridCol w:w="1499"/>
        <w:gridCol w:w="1658"/>
        <w:gridCol w:w="1560"/>
        <w:gridCol w:w="1560"/>
        <w:gridCol w:w="1560"/>
        <w:gridCol w:w="1523"/>
      </w:tblGrid>
      <w:tr>
        <w:trPr>
          <w:tblHeader/>
        </w:trPr>
        <w:tc>
          <w:tcPr>
            <w:tcW w:w="1499" w:type="dxa"/>
            <w:shd w:val="clear" w:color="auto" w:fill="F2F2F2"/>
          </w:tcPr>
          <w:p>
            <w:pPr/>
            <w:r>
              <w:t xml:space="preserve">Service</w:t>
            </w:r>
          </w:p>
        </w:tc>
        <w:tc>
          <w:tcPr>
            <w:tcW w:w="1658" w:type="dxa"/>
            <w:shd w:val="clear" w:color="auto" w:fill="F2F2F2"/>
          </w:tcPr>
          <w:p>
            <w:pPr/>
            <w:r>
              <w:t xml:space="preserve">Disponibilité</w:t>
            </w:r>
          </w:p>
        </w:tc>
        <w:tc>
          <w:tcPr>
            <w:tcW w:w="1560" w:type="dxa"/>
            <w:shd w:val="clear" w:color="auto" w:fill="F2F2F2"/>
          </w:tcPr>
          <w:p>
            <w:pPr/>
            <w:r>
              <w:t xml:space="preserve">Performance</w:t>
            </w:r>
          </w:p>
        </w:tc>
        <w:tc>
          <w:tcPr>
            <w:tcW w:w="1560" w:type="dxa"/>
            <w:shd w:val="clear" w:color="auto" w:fill="F2F2F2"/>
          </w:tcPr>
          <w:p>
            <w:pPr/>
            <w:r>
              <w:t xml:space="preserve">Sécurité</w:t>
            </w:r>
          </w:p>
        </w:tc>
        <w:tc>
          <w:tcPr>
            <w:tcW w:w="1560" w:type="dxa"/>
            <w:shd w:val="clear" w:color="auto" w:fill="F2F2F2"/>
          </w:tcPr>
          <w:p>
            <w:pPr/>
            <w:r>
              <w:t xml:space="preserve">Scalabilité</w:t>
            </w:r>
          </w:p>
        </w:tc>
        <w:tc>
          <w:tcPr>
            <w:tcW w:w="1523" w:type="dxa"/>
            <w:shd w:val="clear" w:color="auto" w:fill="F2F2F2"/>
          </w:tcPr>
          <w:p>
            <w:pPr/>
            <w:r>
              <w:t xml:space="preserve">Coût</w:t>
            </w:r>
          </w:p>
        </w:tc>
      </w:tr>
      <w:tr>
        <w:tc>
          <w:tcPr>
            <w:tcW w:w="1499" w:type="dxa"/>
          </w:tcPr>
          <w:p>
            <w:pPr/>
            <w:r>
              <w:t xml:space="preserve">VPC et sous-réseaux multi-AZ</w:t>
            </w:r>
          </w:p>
        </w:tc>
        <w:tc>
          <w:tcPr>
            <w:tcW w:w="1658" w:type="dxa"/>
          </w:tcPr>
          <w:p>
            <w:pPr/>
            <w:r>
              <w:t xml:space="preserve">2 AZ distinctes</w:t>
            </w:r>
          </w:p>
        </w:tc>
        <w:tc>
          <w:tcPr>
            <w:tcW w:w="1560" w:type="dxa"/>
          </w:tcPr>
          <w:p>
            <w:pPr/>
            <w:r>
              <w:t xml:space="preserve">Segmentation, latence inter-AZ faible</w:t>
            </w:r>
          </w:p>
        </w:tc>
        <w:tc>
          <w:tcPr>
            <w:tcW w:w="1560" w:type="dxa"/>
          </w:tcPr>
          <w:p>
            <w:pPr/>
            <w:r>
              <w:t xml:space="preserve">3 tiers isolés</w:t>
            </w:r>
          </w:p>
        </w:tc>
        <w:tc>
          <w:tcPr>
            <w:tcW w:w="1560" w:type="dxa"/>
          </w:tcPr>
          <w:p>
            <w:pPr/>
            <w:r>
              <w:t xml:space="preserve">/24 = 251 adresses utiles par sous-réseau</w:t>
            </w:r>
          </w:p>
        </w:tc>
        <w:tc>
          <w:tcPr>
            <w:tcW w:w="1523" w:type="dxa"/>
          </w:tcPr>
          <w:p>
            <w:pPr/>
            <w:r>
              <w:t xml:space="preserve">Gratuit</w:t>
            </w:r>
          </w:p>
        </w:tc>
      </w:tr>
      <w:tr>
        <w:tc>
          <w:tcPr>
            <w:tcW w:w="1499" w:type="dxa"/>
          </w:tcPr>
          <w:p>
            <w:pPr/>
            <w:r>
              <w:t xml:space="preserve">ALB</w:t>
            </w:r>
          </w:p>
        </w:tc>
        <w:tc>
          <w:tcPr>
            <w:tcW w:w="1658" w:type="dxa"/>
          </w:tcPr>
          <w:p>
            <w:pPr/>
            <w:r>
              <w:t xml:space="preserve">Répartition sur 2 AZ, retrait des cibles défaillantes</w:t>
            </w:r>
          </w:p>
        </w:tc>
        <w:tc>
          <w:tcPr>
            <w:tcW w:w="1560" w:type="dxa"/>
          </w:tcPr>
          <w:p>
            <w:pPr/>
            <w:r>
              <w:t xml:space="preserve">Routage HTTP niveau 7</w:t>
            </w:r>
          </w:p>
        </w:tc>
        <w:tc>
          <w:tcPr>
            <w:tcW w:w="1560" w:type="dxa"/>
          </w:tcPr>
          <w:p>
            <w:pPr/>
            <w:r>
              <w:t xml:space="preserve">Point d'entrée unique, IP internes masquées</w:t>
            </w:r>
          </w:p>
        </w:tc>
        <w:tc>
          <w:tcPr>
            <w:tcW w:w="1560" w:type="dxa"/>
          </w:tcPr>
          <w:p>
            <w:pPr/>
            <w:r>
              <w:t xml:space="preserve">Capacité ajustée automatiquement</w:t>
            </w:r>
          </w:p>
        </w:tc>
        <w:tc>
          <w:tcPr>
            <w:tcW w:w="1523" w:type="dxa"/>
          </w:tcPr>
          <w:p>
            <w:pPr/>
            <w:r>
              <w:t xml:space="preserve">~0,0225 $/h + LCU</w:t>
            </w:r>
          </w:p>
        </w:tc>
      </w:tr>
      <w:tr>
        <w:tc>
          <w:tcPr>
            <w:tcW w:w="1499" w:type="dxa"/>
          </w:tcPr>
          <w:p>
            <w:pPr/>
            <w:r>
              <w:t xml:space="preserve">ASG (min 1 / souhaité 2 / max 4)</w:t>
            </w:r>
          </w:p>
        </w:tc>
        <w:tc>
          <w:tcPr>
            <w:tcW w:w="1658" w:type="dxa"/>
          </w:tcPr>
          <w:p>
            <w:pPr/>
            <w:r>
              <w:t xml:space="preserve">Remplacement automatique des instances</w:t>
            </w:r>
          </w:p>
        </w:tc>
        <w:tc>
          <w:tcPr>
            <w:tcW w:w="1560" w:type="dxa"/>
          </w:tcPr>
          <w:p>
            <w:pPr/>
            <w:r>
              <w:t xml:space="preserve">Charge répartie</w:t>
            </w:r>
          </w:p>
        </w:tc>
        <w:tc>
          <w:tcPr>
            <w:tcW w:w="1560" w:type="dxa"/>
          </w:tcPr>
          <w:p>
            <w:pPr/>
            <w:r>
              <w:t xml:space="preserve">Instances privées, sans IP publique</w:t>
            </w:r>
          </w:p>
        </w:tc>
        <w:tc>
          <w:tcPr>
            <w:tcW w:w="1560" w:type="dxa"/>
          </w:tcPr>
          <w:p>
            <w:pPr/>
            <w:r>
              <w:t xml:space="preserve">Élasticité de 1 à 4 instances</w:t>
            </w:r>
          </w:p>
        </w:tc>
        <w:tc>
          <w:tcPr>
            <w:tcW w:w="1523" w:type="dxa"/>
          </w:tcPr>
          <w:p>
            <w:pPr/>
            <w:r>
              <w:t xml:space="preserve">Gestion gratuite, EC2 facturées</w:t>
            </w:r>
          </w:p>
        </w:tc>
      </w:tr>
      <w:tr>
        <w:tc>
          <w:tcPr>
            <w:tcW w:w="1499" w:type="dxa"/>
          </w:tcPr>
          <w:p>
            <w:pPr/>
            <w:r>
              <w:t xml:space="preserve">EC2 t3.micro (AL2023)</w:t>
            </w:r>
          </w:p>
        </w:tc>
        <w:tc>
          <w:tcPr>
            <w:tcW w:w="1658" w:type="dxa"/>
          </w:tcPr>
          <w:p>
            <w:pPr/>
            <w:r>
              <w:t xml:space="preserve">Placement multi-AZ par l'ASG</w:t>
            </w:r>
          </w:p>
        </w:tc>
        <w:tc>
          <w:tcPr>
            <w:tcW w:w="1560" w:type="dxa"/>
          </w:tcPr>
          <w:p>
            <w:pPr/>
            <w:r>
              <w:t xml:space="preserve">2 vCPU, 1 Go ; Node.js léger</w:t>
            </w:r>
          </w:p>
        </w:tc>
        <w:tc>
          <w:tcPr>
            <w:tcW w:w="1560" w:type="dxa"/>
          </w:tcPr>
          <w:p>
            <w:pPr/>
            <w:r>
              <w:t xml:space="preserve">Rôle </w:t>
            </w:r>
            <w:r>
              <w:rPr>
                <w:rStyle w:val="CodeChar"/>
              </w:rPr>
              <w:t xml:space="preserve">LabInstanceProfile</w:t>
            </w:r>
            <w:r>
              <w:t xml:space="preserve">, EBS chiffré</w:t>
            </w:r>
          </w:p>
        </w:tc>
        <w:tc>
          <w:tcPr>
            <w:tcW w:w="1560" w:type="dxa"/>
          </w:tcPr>
          <w:p>
            <w:pPr/>
            <w:r>
              <w:t xml:space="preserve">Scale-out via Launch Template</w:t>
            </w:r>
          </w:p>
        </w:tc>
        <w:tc>
          <w:tcPr>
            <w:tcW w:w="1523" w:type="dxa"/>
          </w:tcPr>
          <w:p>
            <w:pPr/>
            <w:r>
              <w:t xml:space="preserve">~0,0104 $/h</w:t>
            </w:r>
          </w:p>
        </w:tc>
      </w:tr>
      <w:tr>
        <w:tc>
          <w:tcPr>
            <w:tcW w:w="1499" w:type="dxa"/>
          </w:tcPr>
          <w:p>
            <w:pPr/>
            <w:r>
              <w:t xml:space="preserve">Instance NAT</w:t>
            </w:r>
          </w:p>
        </w:tc>
        <w:tc>
          <w:tcPr>
            <w:tcW w:w="1658" w:type="dxa"/>
          </w:tcPr>
          <w:p>
            <w:pPr/>
            <w:r>
              <w:t xml:space="preserve">Suffisante pour l'atelier, S3 déchargé sur l'endpoint</w:t>
            </w:r>
          </w:p>
        </w:tc>
        <w:tc>
          <w:tcPr>
            <w:tcW w:w="1560" w:type="dxa"/>
          </w:tcPr>
          <w:p>
            <w:pPr/>
            <w:r>
              <w:t xml:space="preserve">Débit supérieur aux besoins</w:t>
            </w:r>
          </w:p>
        </w:tc>
        <w:tc>
          <w:tcPr>
            <w:tcW w:w="1560" w:type="dxa"/>
          </w:tcPr>
          <w:p>
            <w:pPr/>
            <w:r>
              <w:t xml:space="preserve">nat-sg limité aux sous-réseaux applicatifs</w:t>
            </w:r>
          </w:p>
        </w:tc>
        <w:tc>
          <w:tcPr>
            <w:tcW w:w="1560" w:type="dxa"/>
          </w:tcPr>
          <w:p>
            <w:pPr/>
            <w:r>
              <w:t xml:space="preserve">Suffisante pour le périmètre</w:t>
            </w:r>
          </w:p>
        </w:tc>
        <w:tc>
          <w:tcPr>
            <w:tcW w:w="1523" w:type="dxa"/>
          </w:tcPr>
          <w:p>
            <w:pPr/>
            <w:r>
              <w:t xml:space="preserve">0,0104 $/h (vs 0,045 $/h)</w:t>
            </w:r>
          </w:p>
        </w:tc>
      </w:tr>
      <w:tr>
        <w:tc>
          <w:tcPr>
            <w:tcW w:w="1499" w:type="dxa"/>
          </w:tcPr>
          <w:p>
            <w:pPr/>
            <w:r>
              <w:t xml:space="preserve">VPC Gateway Endpoint S3</w:t>
            </w:r>
          </w:p>
        </w:tc>
        <w:tc>
          <w:tcPr>
            <w:tcW w:w="1658" w:type="dxa"/>
          </w:tcPr>
          <w:p>
            <w:pPr/>
            <w:r>
              <w:t xml:space="preserve">Managé AWS, indépendant de la NAT</w:t>
            </w:r>
          </w:p>
        </w:tc>
        <w:tc>
          <w:tcPr>
            <w:tcW w:w="1560" w:type="dxa"/>
          </w:tcPr>
          <w:p>
            <w:pPr/>
            <w:r>
              <w:t xml:space="preserve">Backbone AWS interne</w:t>
            </w:r>
          </w:p>
        </w:tc>
        <w:tc>
          <w:tcPr>
            <w:tcW w:w="1560" w:type="dxa"/>
          </w:tcPr>
          <w:p>
            <w:pPr/>
            <w:r>
              <w:t xml:space="preserve">Trafic S3 hors Internet</w:t>
            </w:r>
          </w:p>
        </w:tc>
        <w:tc>
          <w:tcPr>
            <w:tcW w:w="1560" w:type="dxa"/>
          </w:tcPr>
          <w:p>
            <w:pPr/>
            <w:r>
              <w:t xml:space="preserve">Illimitée, transparente</w:t>
            </w:r>
          </w:p>
        </w:tc>
        <w:tc>
          <w:tcPr>
            <w:tcW w:w="1523" w:type="dxa"/>
          </w:tcPr>
          <w:p>
            <w:pPr/>
            <w:r>
              <w:t xml:space="preserve">Gratuit</w:t>
            </w:r>
          </w:p>
        </w:tc>
      </w:tr>
      <w:tr>
        <w:tc>
          <w:tcPr>
            <w:tcW w:w="1499" w:type="dxa"/>
          </w:tcPr>
          <w:p>
            <w:pPr/>
            <w:r>
              <w:t xml:space="preserve">S3 (SSE-S3)</w:t>
            </w:r>
          </w:p>
        </w:tc>
        <w:tc>
          <w:tcPr>
            <w:tcW w:w="1658" w:type="dxa"/>
          </w:tcPr>
          <w:p>
            <w:pPr/>
            <w:r>
              <w:t xml:space="preserve">Durabilité 99,999999999 %</w:t>
            </w:r>
          </w:p>
        </w:tc>
        <w:tc>
          <w:tcPr>
            <w:tcW w:w="1560" w:type="dxa"/>
          </w:tcPr>
          <w:p>
            <w:pPr/>
            <w:r>
              <w:t xml:space="preserve">Téléchargement au démarrage</w:t>
            </w:r>
          </w:p>
        </w:tc>
        <w:tc>
          <w:tcPr>
            <w:tcW w:w="1560" w:type="dxa"/>
          </w:tcPr>
          <w:p>
            <w:pPr/>
            <w:r>
              <w:t xml:space="preserve">BlockPublicAccess, AES-256</w:t>
            </w:r>
          </w:p>
        </w:tc>
        <w:tc>
          <w:tcPr>
            <w:tcW w:w="1560" w:type="dxa"/>
          </w:tcPr>
          <w:p>
            <w:pPr/>
            <w:r>
              <w:t xml:space="preserve">Capacité illimitée</w:t>
            </w:r>
          </w:p>
        </w:tc>
        <w:tc>
          <w:tcPr>
            <w:tcW w:w="1523" w:type="dxa"/>
          </w:tcPr>
          <w:p>
            <w:pPr/>
            <w:r>
              <w:t xml:space="preserve">&lt; 0,01 $/mois</w:t>
            </w:r>
          </w:p>
        </w:tc>
      </w:tr>
      <w:tr>
        <w:tc>
          <w:tcPr>
            <w:tcW w:w="1499" w:type="dxa"/>
          </w:tcPr>
          <w:p>
            <w:pPr/>
            <w:r>
              <w:t xml:space="preserve">RDS PostgreSQL (cible)</w:t>
            </w:r>
          </w:p>
        </w:tc>
        <w:tc>
          <w:tcPr>
            <w:tcW w:w="1658" w:type="dxa"/>
          </w:tcPr>
          <w:p>
            <w:pPr/>
            <w:r>
              <w:t xml:space="preserve">Single-AZ, sauvegardes</w:t>
            </w:r>
          </w:p>
        </w:tc>
        <w:tc>
          <w:tcPr>
            <w:tcW w:w="1560" w:type="dxa"/>
          </w:tcPr>
          <w:p>
            <w:pPr/>
            <w:r>
              <w:t xml:space="preserve">Instance dimensionnée au besoin</w:t>
            </w:r>
          </w:p>
        </w:tc>
        <w:tc>
          <w:tcPr>
            <w:tcW w:w="1560" w:type="dxa"/>
          </w:tcPr>
          <w:p>
            <w:pPr/>
            <w:r>
              <w:t xml:space="preserve">Privée, accès via app-sg uniquement</w:t>
            </w:r>
          </w:p>
        </w:tc>
        <w:tc>
          <w:tcPr>
            <w:tcW w:w="1560" w:type="dxa"/>
          </w:tcPr>
          <w:p>
            <w:pPr/>
            <w:r>
              <w:t xml:space="preserve">Évolutif en taille</w:t>
            </w:r>
          </w:p>
        </w:tc>
        <w:tc>
          <w:tcPr>
            <w:tcW w:w="1523" w:type="dxa"/>
          </w:tcPr>
          <w:p>
            <w:pPr/>
            <w:r>
              <w:t xml:space="preserve">À chiffrer avant déploiement</w:t>
            </w:r>
          </w:p>
        </w:tc>
      </w:tr>
    </w:tbl>
    <w:p>
      <w:pPr>
        <w:pStyle w:val="Heading2"/>
      </w:pPr>
      <w:r>
        <w:t xml:space="preserve">9. Sécurité et gestion des secrets</w:t>
      </w:r>
    </w:p>
    <w:p>
      <w:pPr>
        <w:pStyle w:val="Heading3"/>
      </w:pPr>
      <w:r>
        <w:t xml:space="preserve">9.1 Contrôles réseau</w:t>
      </w:r>
    </w:p>
    <w:tbl>
      <w:tblPr>
        <w:tblStyle w:val="TableGrid"/>
        <w:tblW w:w="0" w:type="auto"/>
        <w:tblLayout w:type="fixed"/>
        <w:tblLook w:val="04A0" w:firstRow="1" w:lastRow="0" w:firstColumn="0" w:lastColumn="0" w:noHBand="0" w:noVBand="1"/>
      </w:tblPr>
      <w:tblGrid>
        <w:gridCol w:w="2202"/>
        <w:gridCol w:w="3073"/>
        <w:gridCol w:w="4085"/>
      </w:tblGrid>
      <w:tr>
        <w:trPr>
          <w:tblHeader/>
        </w:trPr>
        <w:tc>
          <w:tcPr>
            <w:tcW w:w="2202" w:type="dxa"/>
            <w:shd w:val="clear" w:color="auto" w:fill="F2F2F2"/>
          </w:tcPr>
          <w:p>
            <w:pPr/>
            <w:r>
              <w:t xml:space="preserve">Groupe de sécurité</w:t>
            </w:r>
          </w:p>
        </w:tc>
        <w:tc>
          <w:tcPr>
            <w:tcW w:w="3073" w:type="dxa"/>
            <w:shd w:val="clear" w:color="auto" w:fill="F2F2F2"/>
          </w:tcPr>
          <w:p>
            <w:pPr/>
            <w:r>
              <w:t xml:space="preserve">Entrée autorisée</w:t>
            </w:r>
          </w:p>
        </w:tc>
        <w:tc>
          <w:tcPr>
            <w:tcW w:w="4085" w:type="dxa"/>
            <w:shd w:val="clear" w:color="auto" w:fill="F2F2F2"/>
          </w:tcPr>
          <w:p>
            <w:pPr/>
            <w:r>
              <w:t xml:space="preserve">Source</w:t>
            </w:r>
          </w:p>
        </w:tc>
      </w:tr>
      <w:tr>
        <w:tc>
          <w:tcPr>
            <w:tcW w:w="2202" w:type="dxa"/>
          </w:tcPr>
          <w:p>
            <w:pPr/>
            <w:r>
              <w:t xml:space="preserve">alb-sg</w:t>
            </w:r>
          </w:p>
        </w:tc>
        <w:tc>
          <w:tcPr>
            <w:tcW w:w="3073" w:type="dxa"/>
          </w:tcPr>
          <w:p>
            <w:pPr/>
            <w:r>
              <w:t xml:space="preserve">TCP 80</w:t>
            </w:r>
          </w:p>
        </w:tc>
        <w:tc>
          <w:tcPr>
            <w:tcW w:w="4085" w:type="dxa"/>
          </w:tcPr>
          <w:p>
            <w:pPr/>
            <w:r>
              <w:t xml:space="preserve">Internet (0.0.0.0/0)</w:t>
            </w:r>
          </w:p>
        </w:tc>
      </w:tr>
      <w:tr>
        <w:tc>
          <w:tcPr>
            <w:tcW w:w="2202" w:type="dxa"/>
          </w:tcPr>
          <w:p>
            <w:pPr/>
            <w:r>
              <w:t xml:space="preserve">app-sg</w:t>
            </w:r>
          </w:p>
        </w:tc>
        <w:tc>
          <w:tcPr>
            <w:tcW w:w="3073" w:type="dxa"/>
          </w:tcPr>
          <w:p>
            <w:pPr/>
            <w:r>
              <w:t xml:space="preserve">TCP 8080</w:t>
            </w:r>
          </w:p>
        </w:tc>
        <w:tc>
          <w:tcPr>
            <w:tcW w:w="4085" w:type="dxa"/>
          </w:tcPr>
          <w:p>
            <w:pPr/>
            <w:r>
              <w:t xml:space="preserve">alb-sg uniquement</w:t>
            </w:r>
          </w:p>
        </w:tc>
      </w:tr>
      <w:tr>
        <w:tc>
          <w:tcPr>
            <w:tcW w:w="2202" w:type="dxa"/>
          </w:tcPr>
          <w:p>
            <w:pPr/>
            <w:r>
              <w:t xml:space="preserve">nat-sg</w:t>
            </w:r>
          </w:p>
        </w:tc>
        <w:tc>
          <w:tcPr>
            <w:tcW w:w="3073" w:type="dxa"/>
          </w:tcPr>
          <w:p>
            <w:pPr/>
            <w:r>
              <w:t xml:space="preserve">Trafic nécessaire à la sortie Internet</w:t>
            </w:r>
          </w:p>
        </w:tc>
        <w:tc>
          <w:tcPr>
            <w:tcW w:w="4085" w:type="dxa"/>
          </w:tcPr>
          <w:p>
            <w:pPr/>
            <w:r>
              <w:t xml:space="preserve">Sous-réseaux applicatifs explicitement définis</w:t>
            </w:r>
          </w:p>
        </w:tc>
      </w:tr>
      <w:tr>
        <w:tc>
          <w:tcPr>
            <w:tcW w:w="2202" w:type="dxa"/>
          </w:tcPr>
          <w:p>
            <w:pPr/>
            <w:r>
              <w:t xml:space="preserve">db-sg (cible)</w:t>
            </w:r>
          </w:p>
        </w:tc>
        <w:tc>
          <w:tcPr>
            <w:tcW w:w="3073" w:type="dxa"/>
          </w:tcPr>
          <w:p>
            <w:pPr/>
            <w:r>
              <w:t xml:space="preserve">TCP 5432</w:t>
            </w:r>
          </w:p>
        </w:tc>
        <w:tc>
          <w:tcPr>
            <w:tcW w:w="4085" w:type="dxa"/>
          </w:tcPr>
          <w:p>
            <w:pPr/>
            <w:r>
              <w:t xml:space="preserve">app-sg uniquement</w:t>
            </w:r>
          </w:p>
        </w:tc>
      </w:tr>
    </w:tbl>
    <w:p>
      <w:pPr/>
      <w:r>
        <w:t xml:space="preserve">Chaînage strict </w:t>
      </w:r>
      <w:r>
        <w:rPr>
          <w:rStyle w:val="CodeChar"/>
        </w:rPr>
        <w:t xml:space="preserve">alb-sg → app-sg → nat-sg</w:t>
      </w:r>
      <w:r>
        <w:t xml:space="preserve"> : aucun port SSH 22 ou RDP 3389 n'est ouvert à Internet. L'administration passe par le mécanisme autorisé par le laboratoire (SSM s'il est disponible et opérationnel). Les règles de sortie sont limitées aux flux nécessaires lorsque le laboratoire le permet.</w:t>
      </w:r>
    </w:p>
    <w:p>
      <w:pPr>
        <w:pStyle w:val="Heading3"/>
      </w:pPr>
      <w:r>
        <w:t xml:space="preserve">9.2 Secrets et identifiants</w:t>
      </w:r>
    </w:p>
    <w:p>
      <w:pPr>
        <w:pStyle w:val="ListParagraph"/>
        <w:numPr>
          <w:ilvl w:val="0"/>
          <w:numId w:val="13"/>
        </w:numPr>
      </w:pPr>
      <w:r>
        <w:t xml:space="preserve">Aucun identifiant AWS, jeton STS, mot de passe de base ou clé privée n'est versionné.</w:t>
      </w:r>
    </w:p>
    <w:p>
      <w:pPr>
        <w:pStyle w:val="ListParagraph"/>
        <w:numPr>
          <w:ilvl w:val="0"/>
          <w:numId w:val="13"/>
        </w:numPr>
      </w:pPr>
      <w:r>
        <w:t xml:space="preserve">Les identifiants AWS Academy sont rechargés localement à chaque séance (Start Lab, AWS Details, Show AWS CLI credentials, copie dans </w:t>
      </w:r>
      <w:r>
        <w:rPr>
          <w:rStyle w:val="CodeChar"/>
        </w:rPr>
        <w:t xml:space="preserve">~/.aws/credentials</w:t>
      </w:r>
      <w:r>
        <w:t xml:space="preserve">, contrôle par </w:t>
      </w:r>
      <w:r>
        <w:rPr>
          <w:rStyle w:val="CodeChar"/>
        </w:rPr>
        <w:t xml:space="preserve">aws sts get-caller-identity</w:t>
      </w:r>
      <w:r>
        <w:t xml:space="preserve">).</w:t>
      </w:r>
    </w:p>
    <w:p>
      <w:pPr>
        <w:pStyle w:val="ListParagraph"/>
        <w:numPr>
          <w:ilvl w:val="0"/>
          <w:numId w:val="13"/>
        </w:numPr>
      </w:pPr>
      <w:r>
        <w:t xml:space="preserve">Les secrets applicatifs n'apparaissent ni dans le dépôt, ni dans les journaux, ni dans les données utilisateur des instances.</w:t>
      </w:r>
    </w:p>
    <w:p>
      <w:pPr>
        <w:pStyle w:val="ListParagraph"/>
        <w:numPr>
          <w:ilvl w:val="0"/>
          <w:numId w:val="13"/>
        </w:numPr>
      </w:pPr>
      <w:r>
        <w:t xml:space="preserve">Le mécanisme de fourniture du mot de passe RDS est choisi après vérification des permissions et de la protection du backend Terraform. Un objet S3 chiffré ne remplace pas le contrôle d'accès : génération, transfert, rotation et suppression des secrets sont documentés.</w:t>
      </w:r>
    </w:p>
    <w:p>
      <w:pPr>
        <w:pStyle w:val="ListParagraph"/>
        <w:numPr>
          <w:ilvl w:val="0"/>
          <w:numId w:val="13"/>
        </w:numPr>
      </w:pPr>
      <w:r>
        <w:t xml:space="preserve">Les sorties Terraform n'affichent aucun secret ; états et sauvegardes d'état sont traités comme sensibles.</w:t>
      </w:r>
    </w:p>
    <w:p>
      <w:pPr>
        <w:pStyle w:val="Heading2"/>
      </w:pPr>
      <w:r>
        <w:t xml:space="preserve">10. Coûts</w:t>
      </w:r>
    </w:p>
    <w:p>
      <w:pPr>
        <w:pStyle w:val="Heading3"/>
      </w:pPr>
      <w:r>
        <w:t xml:space="preserve">10.1 Estimation (us-east-1, tarifs AWS en vigueur)</w:t>
      </w:r>
    </w:p>
    <w:tbl>
      <w:tblPr>
        <w:tblStyle w:val="TableGrid"/>
        <w:tblW w:w="0" w:type="auto"/>
        <w:tblLayout w:type="fixed"/>
        <w:tblLook w:val="04A0" w:firstRow="1" w:lastRow="0" w:firstColumn="0" w:lastColumn="0" w:noHBand="0" w:noVBand="1"/>
      </w:tblPr>
      <w:tblGrid>
        <w:gridCol w:w="2490"/>
        <w:gridCol w:w="2771"/>
        <w:gridCol w:w="720"/>
        <w:gridCol w:w="1737"/>
        <w:gridCol w:w="1641"/>
      </w:tblGrid>
      <w:tr>
        <w:trPr>
          <w:tblHeader/>
        </w:trPr>
        <w:tc>
          <w:tcPr>
            <w:tcW w:w="2490" w:type="dxa"/>
            <w:shd w:val="clear" w:color="auto" w:fill="F2F2F2"/>
          </w:tcPr>
          <w:p>
            <w:pPr/>
            <w:r>
              <w:t xml:space="preserve">Ressource</w:t>
            </w:r>
          </w:p>
        </w:tc>
        <w:tc>
          <w:tcPr>
            <w:tcW w:w="2771" w:type="dxa"/>
            <w:shd w:val="clear" w:color="auto" w:fill="F2F2F2"/>
          </w:tcPr>
          <w:p>
            <w:pPr/>
            <w:r>
              <w:t xml:space="preserve">Paramètres</w:t>
            </w:r>
          </w:p>
        </w:tc>
        <w:tc>
          <w:tcPr>
            <w:tcW w:w="720" w:type="dxa"/>
            <w:shd w:val="clear" w:color="auto" w:fill="F2F2F2"/>
          </w:tcPr>
          <w:p>
            <w:pPr/>
            <w:r>
              <w:t xml:space="preserve">Qté</w:t>
            </w:r>
          </w:p>
        </w:tc>
        <w:tc>
          <w:tcPr>
            <w:tcW w:w="1737" w:type="dxa"/>
            <w:shd w:val="clear" w:color="auto" w:fill="F2F2F2"/>
          </w:tcPr>
          <w:p>
            <w:pPr/>
            <w:r>
              <w:t xml:space="preserve">Total/h (USD)</w:t>
            </w:r>
          </w:p>
        </w:tc>
        <w:tc>
          <w:tcPr>
            <w:tcW w:w="1641" w:type="dxa"/>
            <w:shd w:val="clear" w:color="auto" w:fill="F2F2F2"/>
          </w:tcPr>
          <w:p>
            <w:pPr/>
            <w:r>
              <w:t xml:space="preserve">Coût/mois estimé</w:t>
            </w:r>
          </w:p>
        </w:tc>
      </w:tr>
      <w:tr>
        <w:tc>
          <w:tcPr>
            <w:tcW w:w="2490" w:type="dxa"/>
          </w:tcPr>
          <w:p>
            <w:pPr/>
            <w:r>
              <w:t xml:space="preserve">EC2 applicatives</w:t>
            </w:r>
          </w:p>
        </w:tc>
        <w:tc>
          <w:tcPr>
            <w:tcW w:w="2771" w:type="dxa"/>
          </w:tcPr>
          <w:p>
            <w:pPr/>
            <w:r>
              <w:t xml:space="preserve">t3.micro Linux</w:t>
            </w:r>
          </w:p>
        </w:tc>
        <w:tc>
          <w:tcPr>
            <w:tcW w:w="720" w:type="dxa"/>
          </w:tcPr>
          <w:p>
            <w:pPr/>
            <w:r>
              <w:t xml:space="preserve">2</w:t>
            </w:r>
          </w:p>
        </w:tc>
        <w:tc>
          <w:tcPr>
            <w:tcW w:w="1737" w:type="dxa"/>
          </w:tcPr>
          <w:p>
            <w:pPr/>
            <w:r>
              <w:t xml:space="preserve">0,0208</w:t>
            </w:r>
          </w:p>
        </w:tc>
        <w:tc>
          <w:tcPr>
            <w:tcW w:w="1641" w:type="dxa"/>
          </w:tcPr>
          <w:p>
            <w:pPr/>
            <w:r>
              <w:t xml:space="preserve">15,18 $</w:t>
            </w:r>
          </w:p>
        </w:tc>
      </w:tr>
      <w:tr>
        <w:tc>
          <w:tcPr>
            <w:tcW w:w="2490" w:type="dxa"/>
          </w:tcPr>
          <w:p>
            <w:pPr/>
            <w:r>
              <w:t xml:space="preserve">EC2 NAT</w:t>
            </w:r>
          </w:p>
        </w:tc>
        <w:tc>
          <w:tcPr>
            <w:tcW w:w="2771" w:type="dxa"/>
          </w:tcPr>
          <w:p>
            <w:pPr/>
            <w:r>
              <w:t xml:space="preserve">t3.micro AL2023</w:t>
            </w:r>
          </w:p>
        </w:tc>
        <w:tc>
          <w:tcPr>
            <w:tcW w:w="720" w:type="dxa"/>
          </w:tcPr>
          <w:p>
            <w:pPr/>
            <w:r>
              <w:t xml:space="preserve">1</w:t>
            </w:r>
          </w:p>
        </w:tc>
        <w:tc>
          <w:tcPr>
            <w:tcW w:w="1737" w:type="dxa"/>
          </w:tcPr>
          <w:p>
            <w:pPr/>
            <w:r>
              <w:t xml:space="preserve">0,0104</w:t>
            </w:r>
          </w:p>
        </w:tc>
        <w:tc>
          <w:tcPr>
            <w:tcW w:w="1641" w:type="dxa"/>
          </w:tcPr>
          <w:p>
            <w:pPr/>
            <w:r>
              <w:t xml:space="preserve">7,59 $</w:t>
            </w:r>
          </w:p>
        </w:tc>
      </w:tr>
      <w:tr>
        <w:tc>
          <w:tcPr>
            <w:tcW w:w="2490" w:type="dxa"/>
          </w:tcPr>
          <w:p>
            <w:pPr/>
            <w:r>
              <w:t xml:space="preserve">EBS applicatif</w:t>
            </w:r>
          </w:p>
        </w:tc>
        <w:tc>
          <w:tcPr>
            <w:tcW w:w="2771" w:type="dxa"/>
          </w:tcPr>
          <w:p>
            <w:pPr/>
            <w:r>
              <w:t xml:space="preserve">20 Go gp3 chiffrés</w:t>
            </w:r>
          </w:p>
        </w:tc>
        <w:tc>
          <w:tcPr>
            <w:tcW w:w="720" w:type="dxa"/>
          </w:tcPr>
          <w:p>
            <w:pPr/>
            <w:r>
              <w:t xml:space="preserve">2</w:t>
            </w:r>
          </w:p>
        </w:tc>
        <w:tc>
          <w:tcPr>
            <w:tcW w:w="1737" w:type="dxa"/>
          </w:tcPr>
          <w:p>
            <w:pPr/>
            <w:r>
              <w:t xml:space="preserve">0,0044</w:t>
            </w:r>
          </w:p>
        </w:tc>
        <w:tc>
          <w:tcPr>
            <w:tcW w:w="1641" w:type="dxa"/>
          </w:tcPr>
          <w:p>
            <w:pPr/>
            <w:r>
              <w:t xml:space="preserve">3,20 $</w:t>
            </w:r>
          </w:p>
        </w:tc>
      </w:tr>
      <w:tr>
        <w:tc>
          <w:tcPr>
            <w:tcW w:w="2490" w:type="dxa"/>
          </w:tcPr>
          <w:p>
            <w:pPr/>
            <w:r>
              <w:t xml:space="preserve">EBS NAT</w:t>
            </w:r>
          </w:p>
        </w:tc>
        <w:tc>
          <w:tcPr>
            <w:tcW w:w="2771" w:type="dxa"/>
          </w:tcPr>
          <w:p>
            <w:pPr/>
            <w:r>
              <w:t xml:space="preserve">8 Go gp3 chiffré</w:t>
            </w:r>
          </w:p>
        </w:tc>
        <w:tc>
          <w:tcPr>
            <w:tcW w:w="720" w:type="dxa"/>
          </w:tcPr>
          <w:p>
            <w:pPr/>
            <w:r>
              <w:t xml:space="preserve">1</w:t>
            </w:r>
          </w:p>
        </w:tc>
        <w:tc>
          <w:tcPr>
            <w:tcW w:w="1737" w:type="dxa"/>
          </w:tcPr>
          <w:p>
            <w:pPr/>
            <w:r>
              <w:t xml:space="preserve">0,0009</w:t>
            </w:r>
          </w:p>
        </w:tc>
        <w:tc>
          <w:tcPr>
            <w:tcW w:w="1641" w:type="dxa"/>
          </w:tcPr>
          <w:p>
            <w:pPr/>
            <w:r>
              <w:t xml:space="preserve">0,64 $</w:t>
            </w:r>
          </w:p>
        </w:tc>
      </w:tr>
      <w:tr>
        <w:tc>
          <w:tcPr>
            <w:tcW w:w="2490" w:type="dxa"/>
          </w:tcPr>
          <w:p>
            <w:pPr/>
            <w:r>
              <w:t xml:space="preserve">ALB</w:t>
            </w:r>
          </w:p>
        </w:tc>
        <w:tc>
          <w:tcPr>
            <w:tcW w:w="2771" w:type="dxa"/>
          </w:tcPr>
          <w:p>
            <w:pPr/>
            <w:r>
              <w:t xml:space="preserve">1 ALB + 1 LCU nominal</w:t>
            </w:r>
          </w:p>
        </w:tc>
        <w:tc>
          <w:tcPr>
            <w:tcW w:w="720" w:type="dxa"/>
          </w:tcPr>
          <w:p>
            <w:pPr/>
            <w:r>
              <w:t xml:space="preserve">1</w:t>
            </w:r>
          </w:p>
        </w:tc>
        <w:tc>
          <w:tcPr>
            <w:tcW w:w="1737" w:type="dxa"/>
          </w:tcPr>
          <w:p>
            <w:pPr/>
            <w:r>
              <w:t xml:space="preserve">~0,0240</w:t>
            </w:r>
          </w:p>
        </w:tc>
        <w:tc>
          <w:tcPr>
            <w:tcW w:w="1641" w:type="dxa"/>
          </w:tcPr>
          <w:p>
            <w:pPr/>
            <w:r>
              <w:t xml:space="preserve">17,52 $</w:t>
            </w:r>
          </w:p>
        </w:tc>
      </w:tr>
      <w:tr>
        <w:tc>
          <w:tcPr>
            <w:tcW w:w="2490" w:type="dxa"/>
          </w:tcPr>
          <w:p>
            <w:pPr/>
            <w:r>
              <w:t xml:space="preserve">S3</w:t>
            </w:r>
          </w:p>
        </w:tc>
        <w:tc>
          <w:tcPr>
            <w:tcW w:w="2771" w:type="dxa"/>
          </w:tcPr>
          <w:p>
            <w:pPr/>
            <w:r>
              <w:t xml:space="preserve">~50 Mo d'artefacts</w:t>
            </w:r>
          </w:p>
        </w:tc>
        <w:tc>
          <w:tcPr>
            <w:tcW w:w="720" w:type="dxa"/>
          </w:tcPr>
          <w:p>
            <w:pPr/>
            <w:r>
              <w:t xml:space="preserve">1</w:t>
            </w:r>
          </w:p>
        </w:tc>
        <w:tc>
          <w:tcPr>
            <w:tcW w:w="1737" w:type="dxa"/>
          </w:tcPr>
          <w:p>
            <w:pPr/>
            <w:r>
              <w:t xml:space="preserve">&lt; 0,0001</w:t>
            </w:r>
          </w:p>
        </w:tc>
        <w:tc>
          <w:tcPr>
            <w:tcW w:w="1641" w:type="dxa"/>
          </w:tcPr>
          <w:p>
            <w:pPr/>
            <w:r>
              <w:t xml:space="preserve">&lt; 0,01 $</w:t>
            </w:r>
          </w:p>
        </w:tc>
      </w:tr>
      <w:tr>
        <w:tc>
          <w:tcPr>
            <w:tcW w:w="2490" w:type="dxa"/>
          </w:tcPr>
          <w:p>
            <w:pPr/>
            <w:r>
              <w:t xml:space="preserve">VPC Gateway Endpoint S3</w:t>
            </w:r>
          </w:p>
        </w:tc>
        <w:tc>
          <w:tcPr>
            <w:tcW w:w="2771" w:type="dxa"/>
          </w:tcPr>
          <w:p>
            <w:pPr/>
            <w:r>
              <w:t xml:space="preserve">Passerelle interne</w:t>
            </w:r>
          </w:p>
        </w:tc>
        <w:tc>
          <w:tcPr>
            <w:tcW w:w="720" w:type="dxa"/>
          </w:tcPr>
          <w:p>
            <w:pPr/>
            <w:r>
              <w:t xml:space="preserve">1</w:t>
            </w:r>
          </w:p>
        </w:tc>
        <w:tc>
          <w:tcPr>
            <w:tcW w:w="1737" w:type="dxa"/>
          </w:tcPr>
          <w:p>
            <w:pPr/>
            <w:r>
              <w:t xml:space="preserve">0,0000</w:t>
            </w:r>
          </w:p>
        </w:tc>
        <w:tc>
          <w:tcPr>
            <w:tcW w:w="1641" w:type="dxa"/>
          </w:tcPr>
          <w:p>
            <w:pPr/>
            <w:r>
              <w:t xml:space="preserve">0,00 $</w:t>
            </w:r>
          </w:p>
        </w:tc>
      </w:tr>
      <w:tr>
        <w:tc>
          <w:tcPr>
            <w:tcW w:w="2490" w:type="dxa"/>
          </w:tcPr>
          <w:p>
            <w:pPr/>
            <w:r>
              <w:rPr>
                <w:b/>
              </w:rPr>
              <w:t xml:space="preserve">Total périmètre L1-L3</w:t>
            </w:r>
          </w:p>
        </w:tc>
        <w:tc>
          <w:tcPr>
            <w:tcW w:w="2771" w:type="dxa"/>
          </w:tcPr>
          <w:p>
            <w:pPr/>
          </w:p>
        </w:tc>
        <w:tc>
          <w:tcPr>
            <w:tcW w:w="720" w:type="dxa"/>
          </w:tcPr>
          <w:p>
            <w:pPr/>
          </w:p>
        </w:tc>
        <w:tc>
          <w:tcPr>
            <w:tcW w:w="1737" w:type="dxa"/>
          </w:tcPr>
          <w:p>
            <w:pPr/>
            <w:r>
              <w:rPr>
                <w:b/>
              </w:rPr>
              <w:t xml:space="preserve">~0,0605 $</w:t>
            </w:r>
          </w:p>
        </w:tc>
        <w:tc>
          <w:tcPr>
            <w:tcW w:w="1641" w:type="dxa"/>
          </w:tcPr>
          <w:p>
            <w:pPr/>
            <w:r>
              <w:rPr>
                <w:b/>
              </w:rPr>
              <w:t xml:space="preserve">~44,13 $</w:t>
            </w:r>
          </w:p>
        </w:tc>
      </w:tr>
    </w:tbl>
    <w:p>
      <w:pPr/>
      <w:r>
        <w:t xml:space="preserve">RDS (cible L5) et CloudWatch ne figurent pas dans ce total et seront chiffrés avant déploiement.</w:t>
      </w:r>
    </w:p>
    <w:p>
      <w:pPr/>
      <w:r>
        <w:rPr>
          <w:b/>
        </w:rPr>
        <w:t>Impact financier. Une séance de TP de 3 heures coûte environ 0,18 $ (moins de 0,4 % du crédit). Un oubli de destruction pendant une semaine (168 h) coûterait environ 13,81 $ (soit environ 27 à 35 % du crédit de 50 $, comme indiqué par M. Hamdi Chebbi dans son courriel du 19/10/2026). L'exécution de LANCER_DESTROY_AWS.bat en fin de séance est obligatoire.</w:t>
      </w:r>
      <w:r/>
      <w:r>
        <w:rPr>
          <w:rStyle w:val="CodeChar"/>
        </w:rPr>
      </w:r>
      <w:r/>
    </w:p>
    <w:p>
      <w:pPr>
        <w:pStyle w:val="Heading3"/>
      </w:pPr>
      <w:r>
        <w:t xml:space="preserve">10.2 Exigences de gestion des coûts</w:t>
      </w:r>
    </w:p>
    <w:p>
      <w:pPr>
        <w:pStyle w:val="ListParagraph"/>
        <w:numPr>
          <w:ilvl w:val="0"/>
          <w:numId w:val="14"/>
        </w:numPr>
      </w:pPr>
      <w:r>
        <w:t xml:space="preserve">Établir une estimation avant chaque déploiement (calculateur AWS, région et services réellement retenus).</w:t>
      </w:r>
    </w:p>
    <w:p>
      <w:pPr>
        <w:pStyle w:val="ListParagraph"/>
        <w:numPr>
          <w:ilvl w:val="0"/>
          <w:numId w:val="14"/>
        </w:numPr>
      </w:pPr>
      <w:r>
        <w:t xml:space="preserve">Consigner le crédit restant à la fin de chaque séance.</w:t>
      </w:r>
    </w:p>
    <w:p>
      <w:pPr>
        <w:pStyle w:val="ListParagraph"/>
        <w:numPr>
          <w:ilvl w:val="0"/>
          <w:numId w:val="14"/>
        </w:numPr>
      </w:pPr>
      <w:r>
        <w:t xml:space="preserve">Créer uniquement les ressources nécessaires au test en cours ; détruire ALB, instances, NAT, RDS et autres ressources horaires après chaque séance, puis vérifier leur suppression effective.</w:t>
      </w:r>
    </w:p>
    <w:p>
      <w:pPr>
        <w:pStyle w:val="ListParagraph"/>
        <w:numPr>
          <w:ilvl w:val="0"/>
          <w:numId w:val="14"/>
        </w:numPr>
      </w:pPr>
      <w:r>
        <w:t xml:space="preserve">Ne conserver objets S3 ou snapshots que si leur rétention est nécessaire, prévue et chiffrée.</w:t>
      </w:r>
    </w:p>
    <w:p>
      <w:pPr>
        <w:pStyle w:val="ListParagraph"/>
        <w:numPr>
          <w:ilvl w:val="0"/>
          <w:numId w:val="14"/>
        </w:numPr>
      </w:pPr>
      <w:r>
        <w:t xml:space="preserve">Ne pas considérer le Free Tier comme une garantie de coût nul.</w:t>
      </w:r>
    </w:p>
    <w:p>
      <w:pPr>
        <w:pStyle w:val="ListParagraph"/>
        <w:numPr>
          <w:ilvl w:val="0"/>
          <w:numId w:val="14"/>
        </w:numPr>
      </w:pPr>
      <w:r>
        <w:t xml:space="preserve">Interrompre le déploiement si le coût estimé ou le crédit restant présente un risque d'épuisement du laboratoire.</w:t>
      </w:r>
    </w:p>
    <w:p>
      <w:pPr/>
      <w:r>
        <w:t xml:space="preserve">L'objectif de moins de 35 USD est une cible de gestion de projet, non une estimation tarifaire garantie ; une destruction n'annule pas les coûts déjà générés.</w:t>
      </w:r>
    </w:p>
    <w:p>
      <w:r>
        <w:br w:type="page"/>
      </w:r>
    </w:p>
    <w:p>
      <w:pPr>
        <w:pStyle w:val="Heading1"/>
        <w:spacing w:before="360" w:after="120"/>
      </w:pPr>
      <w:r>
        <w:rPr>
          <w:color w:val="004E9A"/>
          <w:sz w:val="32"/>
        </w:rPr>
        <w:t>ANNEXE A — Structure du Depot Git</w:t>
      </w:r>
    </w:p>
    <w:p>
      <w:pPr>
        <w:spacing w:after="80"/>
      </w:pPr>
      <w:r>
        <w:rPr>
          <w:sz w:val="22"/>
        </w:rPr>
        <w:t>La structure en place couvre les responsabilites suivantes :</w:t>
      </w:r>
    </w:p>
    <w:tbl>
      <w:tblPr>
        <w:tblStyle w:val="TableGrid"/>
        <w:tblW w:type="auto" w:w="0"/>
        <w:tblLook w:firstColumn="1" w:firstRow="1" w:lastColumn="0" w:lastRow="0" w:noHBand="0" w:noVBand="1" w:val="04A0"/>
      </w:tblPr>
      <w:tblGrid>
        <w:gridCol w:w="4680"/>
        <w:gridCol w:w="4680"/>
      </w:tblGrid>
      <w:tr>
        <w:tc>
          <w:tcPr>
            <w:tcW w:type="dxa" w:w="4680"/>
            <w:shd w:val="clear" w:color="auto" w:fill="004E9A"/>
          </w:tcPr>
          <w:p>
            <w:r>
              <w:rPr>
                <w:b/>
                <w:color w:val="FFFFFF"/>
                <w:sz w:val="18"/>
              </w:rPr>
              <w:t>Repertoire / Fichier</w:t>
            </w:r>
          </w:p>
        </w:tc>
        <w:tc>
          <w:tcPr>
            <w:tcW w:type="dxa" w:w="4680"/>
            <w:shd w:val="clear" w:color="auto" w:fill="004E9A"/>
          </w:tcPr>
          <w:p>
            <w:r>
              <w:rPr>
                <w:b/>
                <w:color w:val="FFFFFF"/>
                <w:sz w:val="18"/>
              </w:rPr>
              <w:t>Contenu attendu</w:t>
            </w:r>
          </w:p>
        </w:tc>
      </w:tr>
      <w:tr>
        <w:tc>
          <w:tcPr>
            <w:tcW w:type="dxa" w:w="4680"/>
          </w:tcPr>
          <w:p>
            <w:r>
              <w:rPr>
                <w:sz w:val="18"/>
              </w:rPr>
              <w:t>infra/</w:t>
            </w:r>
          </w:p>
        </w:tc>
        <w:tc>
          <w:tcPr>
            <w:tcW w:type="dxa" w:w="4680"/>
          </w:tcPr>
          <w:p>
            <w:r>
              <w:rPr>
                <w:sz w:val="18"/>
              </w:rPr>
              <w:t>Code Terraform, environnements (dev) et modules d'infrastructure (reseau, securite, stockage, calcul)</w:t>
            </w:r>
          </w:p>
        </w:tc>
      </w:tr>
      <w:tr>
        <w:tc>
          <w:tcPr>
            <w:tcW w:type="dxa" w:w="4680"/>
            <w:shd w:val="clear" w:color="auto" w:fill="EAF0FB"/>
          </w:tcPr>
          <w:p>
            <w:r>
              <w:rPr>
                <w:sz w:val="18"/>
              </w:rPr>
              <w:t>app/</w:t>
            </w:r>
          </w:p>
        </w:tc>
        <w:tc>
          <w:tcPr>
            <w:tcW w:type="dxa" w:w="4680"/>
            <w:shd w:val="clear" w:color="auto" w:fill="EAF0FB"/>
          </w:tcPr>
          <w:p>
            <w:r>
              <w:rPr>
                <w:sz w:val="18"/>
              </w:rPr>
              <w:t>Code de l'application CineTrekker et elements necessaires a son empaquetage (dist/, server.js)</w:t>
            </w:r>
          </w:p>
        </w:tc>
      </w:tr>
      <w:tr>
        <w:tc>
          <w:tcPr>
            <w:tcW w:type="dxa" w:w="4680"/>
          </w:tcPr>
          <w:p>
            <w:r>
              <w:rPr>
                <w:sz w:val="18"/>
              </w:rPr>
              <w:t>scripts/</w:t>
            </w:r>
          </w:p>
        </w:tc>
        <w:tc>
          <w:tcPr>
            <w:tcW w:type="dxa" w:w="4680"/>
          </w:tcPr>
          <w:p>
            <w:r>
              <w:rPr>
                <w:sz w:val="18"/>
              </w:rPr>
              <w:t>Deploiement (deploy.ps1/.sh), destruction (destroy.ps1/.sh), lanceurs 1-clic (.bat)</w:t>
            </w:r>
          </w:p>
        </w:tc>
      </w:tr>
      <w:tr>
        <w:tc>
          <w:tcPr>
            <w:tcW w:type="dxa" w:w="4680"/>
            <w:shd w:val="clear" w:color="auto" w:fill="EAF0FB"/>
          </w:tcPr>
          <w:p>
            <w:r>
              <w:rPr>
                <w:sz w:val="18"/>
              </w:rPr>
              <w:t>docs/</w:t>
            </w:r>
          </w:p>
        </w:tc>
        <w:tc>
          <w:tcPr>
            <w:tcW w:type="dxa" w:w="4680"/>
            <w:shd w:val="clear" w:color="auto" w:fill="EAF0FB"/>
          </w:tcPr>
          <w:p>
            <w:r>
              <w:rPr>
                <w:sz w:val="18"/>
              </w:rPr>
              <w:t>Cahier des charges, architecture, decisions, exploitation, incidents, mesures et journaux</w:t>
            </w:r>
          </w:p>
        </w:tc>
      </w:tr>
      <w:tr>
        <w:tc>
          <w:tcPr>
            <w:tcW w:type="dxa" w:w="4680"/>
          </w:tcPr>
          <w:p>
            <w:r>
              <w:rPr>
                <w:sz w:val="18"/>
              </w:rPr>
              <w:t>README.md</w:t>
            </w:r>
          </w:p>
        </w:tc>
        <w:tc>
          <w:tcPr>
            <w:tcW w:type="dxa" w:w="4680"/>
          </w:tcPr>
          <w:p>
            <w:r>
              <w:rPr>
                <w:sz w:val="18"/>
              </w:rPr>
              <w:t>Demarrage, rechargement des identifiants, deploiement, validation et destruction</w:t>
            </w:r>
          </w:p>
        </w:tc>
      </w:tr>
      <w:tr>
        <w:tc>
          <w:tcPr>
            <w:tcW w:type="dxa" w:w="4680"/>
            <w:shd w:val="clear" w:color="auto" w:fill="EAF0FB"/>
          </w:tcPr>
          <w:p>
            <w:r>
              <w:rPr>
                <w:sz w:val="18"/>
              </w:rPr>
              <w:t>.gitignore</w:t>
            </w:r>
          </w:p>
        </w:tc>
        <w:tc>
          <w:tcPr>
            <w:tcW w:type="dxa" w:w="4680"/>
            <w:shd w:val="clear" w:color="auto" w:fill="EAF0FB"/>
          </w:tcPr>
          <w:p>
            <w:r>
              <w:rPr>
                <w:sz w:val="18"/>
              </w:rPr>
              <w:t>Exclusion des secrets, fichiers d'etat Terraform (.tfstate), variables locales et artefacts binaires</w:t>
            </w:r>
          </w:p>
        </w:tc>
      </w:tr>
    </w:tbl>
    <w:p/>
    <w:p>
      <w:pPr>
        <w:pStyle w:val="Heading1"/>
        <w:spacing w:before="360" w:after="120"/>
      </w:pPr>
      <w:r>
        <w:rPr>
          <w:color w:val="004E9A"/>
          <w:sz w:val="32"/>
        </w:rPr>
        <w:t>ANNEXE B — Exigences Fonctionnelles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4E9A"/>
          </w:tcPr>
          <w:p>
            <w:r>
              <w:rPr>
                <w:b/>
                <w:color w:val="FFFFFF"/>
                <w:sz w:val="18"/>
              </w:rPr>
              <w:t>ID</w:t>
            </w:r>
          </w:p>
        </w:tc>
        <w:tc>
          <w:tcPr>
            <w:tcW w:type="dxa" w:w="3120"/>
            <w:shd w:val="clear" w:color="auto" w:fill="004E9A"/>
          </w:tcPr>
          <w:p>
            <w:r>
              <w:rPr>
                <w:b/>
                <w:color w:val="FFFFFF"/>
                <w:sz w:val="18"/>
              </w:rPr>
              <w:t>Exigence</w:t>
            </w:r>
          </w:p>
        </w:tc>
        <w:tc>
          <w:tcPr>
            <w:tcW w:type="dxa" w:w="3120"/>
            <w:shd w:val="clear" w:color="auto" w:fill="004E9A"/>
          </w:tcPr>
          <w:p>
            <w:r>
              <w:rPr>
                <w:b/>
                <w:color w:val="FFFFFF"/>
                <w:sz w:val="18"/>
              </w:rPr>
              <w:t>Critere de validation</w:t>
            </w:r>
          </w:p>
        </w:tc>
      </w:tr>
      <w:tr>
        <w:tc>
          <w:tcPr>
            <w:tcW w:type="dxa" w:w="3120"/>
          </w:tcPr>
          <w:p>
            <w:r>
              <w:rPr>
                <w:sz w:val="18"/>
              </w:rPr>
              <w:t>F-01</w:t>
            </w:r>
          </w:p>
        </w:tc>
        <w:tc>
          <w:tcPr>
            <w:tcW w:type="dxa" w:w="3120"/>
          </w:tcPr>
          <w:p>
            <w:r>
              <w:rPr>
                <w:sz w:val="18"/>
              </w:rPr>
              <w:t>L'utilisateur acceede a CineTrekker via l'URL de l'ALB</w:t>
            </w:r>
          </w:p>
        </w:tc>
        <w:tc>
          <w:tcPr>
            <w:tcW w:type="dxa" w:w="3120"/>
          </w:tcPr>
          <w:p>
            <w:r>
              <w:rPr>
                <w:sz w:val="18"/>
              </w:rPr>
              <w:t>Page d'accueil servie avec succes par le point d'entree public</w:t>
            </w:r>
          </w:p>
        </w:tc>
      </w:tr>
      <w:tr>
        <w:tc>
          <w:tcPr>
            <w:tcW w:type="dxa" w:w="3120"/>
            <w:shd w:val="clear" w:color="auto" w:fill="EAF0FB"/>
          </w:tcPr>
          <w:p>
            <w:r>
              <w:rPr>
                <w:sz w:val="18"/>
              </w:rPr>
              <w:t>F-02</w:t>
            </w:r>
          </w:p>
        </w:tc>
        <w:tc>
          <w:tcPr>
            <w:tcW w:type="dxa" w:w="3120"/>
            <w:shd w:val="clear" w:color="auto" w:fill="EAF0FB"/>
          </w:tcPr>
          <w:p>
            <w:r>
              <w:rPr>
                <w:sz w:val="18"/>
              </w:rPr>
              <w:t>L'ALB distribue les requetes vers les instances applicatives saines</w:t>
            </w:r>
          </w:p>
        </w:tc>
        <w:tc>
          <w:tcPr>
            <w:tcW w:type="dxa" w:w="3120"/>
            <w:shd w:val="clear" w:color="auto" w:fill="EAF0FB"/>
          </w:tcPr>
          <w:p>
            <w:r>
              <w:rPr>
                <w:sz w:val="18"/>
              </w:rPr>
              <w:t>Cibles enregistrees et etat de sante consultable</w:t>
            </w:r>
          </w:p>
        </w:tc>
      </w:tr>
      <w:tr>
        <w:tc>
          <w:tcPr>
            <w:tcW w:type="dxa" w:w="3120"/>
          </w:tcPr>
          <w:p>
            <w:r>
              <w:rPr>
                <w:sz w:val="18"/>
              </w:rPr>
              <w:t>F-03</w:t>
            </w:r>
          </w:p>
        </w:tc>
        <w:tc>
          <w:tcPr>
            <w:tcW w:type="dxa" w:w="3120"/>
          </w:tcPr>
          <w:p>
            <w:r>
              <w:rPr>
                <w:sz w:val="18"/>
              </w:rPr>
              <w:t>Une instance defaillante est retiree du trafic puis remplacee</w:t>
            </w:r>
          </w:p>
        </w:tc>
        <w:tc>
          <w:tcPr>
            <w:tcW w:type="dxa" w:w="3120"/>
          </w:tcPr>
          <w:p>
            <w:r>
              <w:rPr>
                <w:sz w:val="18"/>
              </w:rPr>
              <w:t>Echec de sante observe, remplacement ASG confirme</w:t>
            </w:r>
          </w:p>
        </w:tc>
      </w:tr>
      <w:tr>
        <w:tc>
          <w:tcPr>
            <w:tcW w:type="dxa" w:w="3120"/>
            <w:shd w:val="clear" w:color="auto" w:fill="EAF0FB"/>
          </w:tcPr>
          <w:p>
            <w:r>
              <w:rPr>
                <w:sz w:val="18"/>
              </w:rPr>
              <w:t>F-04</w:t>
            </w:r>
          </w:p>
        </w:tc>
        <w:tc>
          <w:tcPr>
            <w:tcW w:type="dxa" w:w="3120"/>
            <w:shd w:val="clear" w:color="auto" w:fill="EAF0FB"/>
          </w:tcPr>
          <w:p>
            <w:r>
              <w:rPr>
                <w:sz w:val="18"/>
              </w:rPr>
              <w:t>L'application expose un controle de sante /health</w:t>
            </w:r>
          </w:p>
        </w:tc>
        <w:tc>
          <w:tcPr>
            <w:tcW w:type="dxa" w:w="3120"/>
            <w:shd w:val="clear" w:color="auto" w:fill="EAF0FB"/>
          </w:tcPr>
          <w:p>
            <w:r>
              <w:rPr>
                <w:sz w:val="18"/>
              </w:rPr>
              <w:t>Reponse valide HTTP 200 JSON sur le port 8080 depuis le Target Group</w:t>
            </w:r>
          </w:p>
        </w:tc>
      </w:tr>
      <w:tr>
        <w:tc>
          <w:tcPr>
            <w:tcW w:type="dxa" w:w="3120"/>
          </w:tcPr>
          <w:p>
            <w:r>
              <w:rPr>
                <w:sz w:val="18"/>
              </w:rPr>
              <w:t>F-05</w:t>
            </w:r>
          </w:p>
        </w:tc>
        <w:tc>
          <w:tcPr>
            <w:tcW w:type="dxa" w:w="3120"/>
          </w:tcPr>
          <w:p>
            <w:r>
              <w:rPr>
                <w:sz w:val="18"/>
              </w:rPr>
              <w:t>Les donnees persistantes sont stockees dans RDS</w:t>
            </w:r>
          </w:p>
        </w:tc>
        <w:tc>
          <w:tcPr>
            <w:tcW w:type="dxa" w:w="3120"/>
          </w:tcPr>
          <w:p>
            <w:r>
              <w:rPr>
                <w:sz w:val="18"/>
              </w:rPr>
              <w:t>Connexion depuis l'application et refus d'acces depuis Internet</w:t>
            </w:r>
          </w:p>
        </w:tc>
      </w:tr>
      <w:tr>
        <w:tc>
          <w:tcPr>
            <w:tcW w:type="dxa" w:w="3120"/>
            <w:shd w:val="clear" w:color="auto" w:fill="EAF0FB"/>
          </w:tcPr>
          <w:p>
            <w:r>
              <w:rPr>
                <w:sz w:val="18"/>
              </w:rPr>
              <w:t>F-06</w:t>
            </w:r>
          </w:p>
        </w:tc>
        <w:tc>
          <w:tcPr>
            <w:tcW w:type="dxa" w:w="3120"/>
            <w:shd w:val="clear" w:color="auto" w:fill="EAF0FB"/>
          </w:tcPr>
          <w:p>
            <w:r>
              <w:rPr>
                <w:sz w:val="18"/>
              </w:rPr>
              <w:t>L'artefact applicatif est recuperable depuis S3</w:t>
            </w:r>
          </w:p>
        </w:tc>
        <w:tc>
          <w:tcPr>
            <w:tcW w:type="dxa" w:w="3120"/>
            <w:shd w:val="clear" w:color="auto" w:fill="EAF0FB"/>
          </w:tcPr>
          <w:p>
            <w:r>
              <w:rPr>
                <w:sz w:val="18"/>
              </w:rPr>
              <w:t>Acces depuis le role prevu (LabInstanceProfile) et absence d'acces public</w:t>
            </w:r>
          </w:p>
        </w:tc>
      </w:tr>
      <w:tr>
        <w:tc>
          <w:tcPr>
            <w:tcW w:type="dxa" w:w="3120"/>
          </w:tcPr>
          <w:p>
            <w:r>
              <w:rPr>
                <w:sz w:val="18"/>
              </w:rPr>
              <w:t>F-07</w:t>
            </w:r>
          </w:p>
        </w:tc>
        <w:tc>
          <w:tcPr>
            <w:tcW w:type="dxa" w:w="3120"/>
          </w:tcPr>
          <w:p>
            <w:r>
              <w:rPr>
                <w:sz w:val="18"/>
              </w:rPr>
              <w:t>Le deploiement et la destruction sont automatises</w:t>
            </w:r>
          </w:p>
        </w:tc>
        <w:tc>
          <w:tcPr>
            <w:tcW w:type="dxa" w:w="3120"/>
          </w:tcPr>
          <w:p>
            <w:r>
              <w:rPr>
                <w:sz w:val="18"/>
              </w:rPr>
              <w:t>Scripts documentes executables depuis un environnement propre en 1 clic</w:t>
            </w:r>
          </w:p>
        </w:tc>
      </w:tr>
      <w:tr>
        <w:tc>
          <w:tcPr>
            <w:tcW w:type="dxa" w:w="3120"/>
            <w:shd w:val="clear" w:color="auto" w:fill="EAF0FB"/>
          </w:tcPr>
          <w:p>
            <w:r>
              <w:rPr>
                <w:sz w:val="18"/>
              </w:rPr>
              <w:t>F-08</w:t>
            </w:r>
          </w:p>
        </w:tc>
        <w:tc>
          <w:tcPr>
            <w:tcW w:type="dxa" w:w="3120"/>
            <w:shd w:val="clear" w:color="auto" w:fill="EAF0FB"/>
          </w:tcPr>
          <w:p>
            <w:r>
              <w:rPr>
                <w:sz w:val="18"/>
              </w:rPr>
              <w:t>Une version applicative peut etre publiee de facon controlee</w:t>
            </w:r>
          </w:p>
        </w:tc>
        <w:tc>
          <w:tcPr>
            <w:tcW w:type="dxa" w:w="3120"/>
            <w:shd w:val="clear" w:color="auto" w:fill="EAF0FB"/>
          </w:tcPr>
          <w:p>
            <w:r>
              <w:rPr>
                <w:sz w:val="18"/>
              </w:rPr>
              <w:t>Procedure de mise a jour testee et resultat verifie</w:t>
            </w:r>
          </w:p>
        </w:tc>
      </w:tr>
      <w:tr>
        <w:tc>
          <w:tcPr>
            <w:tcW w:type="dxa" w:w="3120"/>
          </w:tcPr>
          <w:p>
            <w:r>
              <w:rPr>
                <w:sz w:val="18"/>
              </w:rPr>
              <w:t>F-09</w:t>
            </w:r>
          </w:p>
        </w:tc>
        <w:tc>
          <w:tcPr>
            <w:tcW w:type="dxa" w:w="3120"/>
          </w:tcPr>
          <w:p>
            <w:r>
              <w:rPr>
                <w:sz w:val="18"/>
              </w:rPr>
              <w:t>Les evenements et metriques utiles sont consultables</w:t>
            </w:r>
          </w:p>
        </w:tc>
        <w:tc>
          <w:tcPr>
            <w:tcW w:type="dxa" w:w="3120"/>
          </w:tcPr>
          <w:p>
            <w:r>
              <w:rPr>
                <w:sz w:val="18"/>
              </w:rPr>
              <w:t>Journaux CloudWatch, tableau de bord et 2 alarmes presents et testes</w:t>
            </w:r>
          </w:p>
        </w:tc>
      </w:tr>
    </w:tbl>
    <w:p/>
    <w:p>
      <w:pPr>
        <w:pStyle w:val="Heading1"/>
        <w:spacing w:before="360" w:after="120"/>
      </w:pPr>
      <w:r>
        <w:rPr>
          <w:color w:val="004E9A"/>
          <w:sz w:val="32"/>
        </w:rPr>
        <w:t>ANNEXE C — Exigences Non Fonctionnelles</w:t>
      </w:r>
    </w:p>
    <w:p>
      <w:pPr>
        <w:pStyle w:val="ListParagraph"/>
        <w:spacing w:after="40"/>
        <w:ind w:left="425"/>
      </w:pPr>
      <w:r>
        <w:rPr>
          <w:b/>
          <w:sz w:val="22"/>
        </w:rPr>
        <w:t xml:space="preserve">•  Reproductibilite : </w:t>
      </w:r>
      <w:r>
        <w:rPr>
          <w:sz w:val="22"/>
        </w:rPr>
        <w:t>Ressources reconstruites depuis le depot, sans etapes AWS manuelles non documentees.</w:t>
      </w:r>
    </w:p>
    <w:p>
      <w:pPr>
        <w:pStyle w:val="ListParagraph"/>
        <w:spacing w:after="40"/>
        <w:ind w:left="425"/>
      </w:pPr>
      <w:r>
        <w:rPr>
          <w:b/>
          <w:sz w:val="22"/>
        </w:rPr>
        <w:t xml:space="preserve">•  Disponibilite : </w:t>
      </w:r>
      <w:r>
        <w:rPr>
          <w:sz w:val="22"/>
        </w:rPr>
        <w:t>La perte d'une instance applicative n'empeche pas l'acces au service pendant le test.</w:t>
      </w:r>
    </w:p>
    <w:p>
      <w:pPr>
        <w:pStyle w:val="ListParagraph"/>
        <w:spacing w:after="40"/>
        <w:ind w:left="425"/>
      </w:pPr>
      <w:r>
        <w:rPr>
          <w:b/>
          <w:sz w:val="22"/>
        </w:rPr>
        <w:t xml:space="preserve">•  Securite : </w:t>
      </w:r>
      <w:r>
        <w:rPr>
          <w:sz w:val="22"/>
        </w:rPr>
        <w:t>RDS prive, entrees restreintes, chiffrement au repos active, secrets absents du depot.</w:t>
      </w:r>
    </w:p>
    <w:p>
      <w:pPr>
        <w:pStyle w:val="ListParagraph"/>
        <w:spacing w:after="40"/>
        <w:ind w:left="425"/>
      </w:pPr>
      <w:r>
        <w:rPr>
          <w:b/>
          <w:sz w:val="22"/>
        </w:rPr>
        <w:t xml:space="preserve">•  Observabilite : </w:t>
      </w:r>
      <w:r>
        <w:rPr>
          <w:sz w:val="22"/>
        </w:rPr>
        <w:t>Un incident injecte peut etre detecte et diagnostique a partir des metriques et journaux.</w:t>
      </w:r>
    </w:p>
    <w:p>
      <w:pPr>
        <w:pStyle w:val="ListParagraph"/>
        <w:spacing w:after="40"/>
        <w:ind w:left="425"/>
      </w:pPr>
      <w:r>
        <w:rPr>
          <w:b/>
          <w:sz w:val="22"/>
        </w:rPr>
        <w:t xml:space="preserve">•  Maintenabilite : </w:t>
      </w:r>
      <w:r>
        <w:rPr>
          <w:sz w:val="22"/>
        </w:rPr>
        <w:t>Modules Terraform et scripts nommes selon leur responsabilite, parametres documentes, historique Git intelligible.</w:t>
      </w:r>
    </w:p>
    <w:p>
      <w:pPr>
        <w:pStyle w:val="ListParagraph"/>
        <w:spacing w:after="40"/>
        <w:ind w:left="425"/>
      </w:pPr>
      <w:r>
        <w:rPr>
          <w:b/>
          <w:sz w:val="22"/>
        </w:rPr>
        <w:t xml:space="preserve">•  Cout : </w:t>
      </w:r>
      <w:r>
        <w:rPr>
          <w:sz w:val="22"/>
        </w:rPr>
        <w:t>Estimation et suivi par seance, destruction des ressources facturees a l'heure sans oubli.</w:t>
      </w:r>
    </w:p>
    <w:p>
      <w:pPr>
        <w:pStyle w:val="ListParagraph"/>
        <w:spacing w:after="40"/>
        <w:ind w:left="425"/>
      </w:pPr>
      <w:r>
        <w:rPr>
          <w:b/>
          <w:sz w:val="22"/>
        </w:rPr>
        <w:t xml:space="preserve">•  Resilience des donnees : </w:t>
      </w:r>
      <w:r>
        <w:rPr>
          <w:sz w:val="22"/>
        </w:rPr>
        <w:t>Procedure de sauvegarde et de restauration eprouvee, avec mesures de RPO (24h) et RTO (&lt; 15 min).</w:t>
      </w:r>
    </w:p>
    <w:p/>
    <w:p>
      <w:pPr>
        <w:pStyle w:val="Heading1"/>
        <w:spacing w:before="360" w:after="120"/>
      </w:pPr>
      <w:r>
        <w:rPr>
          <w:color w:val="004E9A"/>
          <w:sz w:val="32"/>
        </w:rPr>
        <w:t>ANNEXE D — Plan de Tests et Criteres d'Acceptation</w:t>
      </w:r>
    </w:p>
    <w:p>
      <w:pPr>
        <w:spacing w:after="80"/>
      </w:pPr>
      <w:r>
        <w:rPr>
          <w:sz w:val="22"/>
        </w:rPr>
        <w:t>Les resultats sont consignes avec horodatage, contexte, commandes non sensibles et captures. Aucun secret ni jeton ne doit apparaitre dans les preuves.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4E9A"/>
          </w:tcPr>
          <w:p>
            <w:r>
              <w:rPr>
                <w:b/>
                <w:color w:val="FFFFFF"/>
                <w:sz w:val="18"/>
              </w:rPr>
              <w:t>Test</w:t>
            </w:r>
          </w:p>
        </w:tc>
        <w:tc>
          <w:tcPr>
            <w:tcW w:type="dxa" w:w="3120"/>
            <w:shd w:val="clear" w:color="auto" w:fill="004E9A"/>
          </w:tcPr>
          <w:p>
            <w:r>
              <w:rPr>
                <w:b/>
                <w:color w:val="FFFFFF"/>
                <w:sz w:val="18"/>
              </w:rPr>
              <w:t>Procedure</w:t>
            </w:r>
          </w:p>
        </w:tc>
        <w:tc>
          <w:tcPr>
            <w:tcW w:type="dxa" w:w="3120"/>
            <w:shd w:val="clear" w:color="auto" w:fill="004E9A"/>
          </w:tcPr>
          <w:p>
            <w:r>
              <w:rPr>
                <w:b/>
                <w:color w:val="FFFFFF"/>
                <w:sz w:val="18"/>
              </w:rPr>
              <w:t>Resultat attendu / Preuve</w:t>
            </w:r>
          </w:p>
        </w:tc>
      </w:tr>
      <w:tr>
        <w:tc>
          <w:tcPr>
            <w:tcW w:type="dxa" w:w="3120"/>
          </w:tcPr>
          <w:p>
            <w:r>
              <w:rPr>
                <w:sz w:val="18"/>
              </w:rPr>
              <w:t>T-01 — Deploiement IaC</w:t>
            </w:r>
          </w:p>
        </w:tc>
        <w:tc>
          <w:tcPr>
            <w:tcW w:type="dxa" w:w="3120"/>
          </w:tcPr>
          <w:p>
            <w:r>
              <w:rPr>
                <w:sz w:val="18"/>
              </w:rPr>
              <w:t>Partir d'un environnement sans ressources et executer la procedure de deploiement.</w:t>
            </w:r>
          </w:p>
        </w:tc>
        <w:tc>
          <w:tcPr>
            <w:tcW w:type="dxa" w:w="3120"/>
          </w:tcPr>
          <w:p>
            <w:r>
              <w:rPr>
                <w:sz w:val="18"/>
              </w:rPr>
              <w:t>Ressources creees par Terraform, application accessible, duree enregistree.</w:t>
            </w:r>
          </w:p>
        </w:tc>
      </w:tr>
      <w:tr>
        <w:tc>
          <w:tcPr>
            <w:tcW w:type="dxa" w:w="3120"/>
            <w:shd w:val="clear" w:color="auto" w:fill="EAF0FB"/>
          </w:tcPr>
          <w:p>
            <w:r>
              <w:rPr>
                <w:sz w:val="18"/>
              </w:rPr>
              <w:t>T-02 — Controle de sante</w:t>
            </w:r>
          </w:p>
        </w:tc>
        <w:tc>
          <w:tcPr>
            <w:tcW w:type="dxa" w:w="3120"/>
            <w:shd w:val="clear" w:color="auto" w:fill="EAF0FB"/>
          </w:tcPr>
          <w:p>
            <w:r>
              <w:rPr>
                <w:sz w:val="18"/>
              </w:rPr>
              <w:t>Consulter le Target Group et appeler /health.</w:t>
            </w:r>
          </w:p>
        </w:tc>
        <w:tc>
          <w:tcPr>
            <w:tcW w:type="dxa" w:w="3120"/>
            <w:shd w:val="clear" w:color="auto" w:fill="EAF0FB"/>
          </w:tcPr>
          <w:p>
            <w:r>
              <w:rPr>
                <w:sz w:val="18"/>
              </w:rPr>
              <w:t>Cible saine enregistree ; reponse compatible avec le controle ALB.</w:t>
            </w:r>
          </w:p>
        </w:tc>
      </w:tr>
      <w:tr>
        <w:tc>
          <w:tcPr>
            <w:tcW w:type="dxa" w:w="3120"/>
          </w:tcPr>
          <w:p>
            <w:r>
              <w:rPr>
                <w:sz w:val="18"/>
              </w:rPr>
              <w:t>T-03 — Segmentation</w:t>
            </w:r>
          </w:p>
        </w:tc>
        <w:tc>
          <w:tcPr>
            <w:tcW w:type="dxa" w:w="3120"/>
          </w:tcPr>
          <w:p>
            <w:r>
              <w:rPr>
                <w:sz w:val="18"/>
              </w:rPr>
              <w:t>Verifier les regles des Security Groups et tester l'acces a RDS depuis Internet.</w:t>
            </w:r>
          </w:p>
        </w:tc>
        <w:tc>
          <w:tcPr>
            <w:tcW w:type="dxa" w:w="3120"/>
          </w:tcPr>
          <w:p>
            <w:r>
              <w:rPr>
                <w:sz w:val="18"/>
              </w:rPr>
              <w:t>ALB accessible port 80 ; acces direct a RDS refuse depuis l'exterieur.</w:t>
            </w:r>
          </w:p>
        </w:tc>
      </w:tr>
      <w:tr>
        <w:tc>
          <w:tcPr>
            <w:tcW w:type="dxa" w:w="3120"/>
            <w:shd w:val="clear" w:color="auto" w:fill="EAF0FB"/>
          </w:tcPr>
          <w:p>
            <w:r>
              <w:rPr>
                <w:sz w:val="18"/>
              </w:rPr>
              <w:t>T-04 — Perte d'instance</w:t>
            </w:r>
          </w:p>
        </w:tc>
        <w:tc>
          <w:tcPr>
            <w:tcW w:type="dxa" w:w="3120"/>
            <w:shd w:val="clear" w:color="auto" w:fill="EAF0FB"/>
          </w:tcPr>
          <w:p>
            <w:r>
              <w:rPr>
                <w:sz w:val="18"/>
              </w:rPr>
              <w:t>Terminer une instance geree par l'ASG pendant un flux de requetes continu.</w:t>
            </w:r>
          </w:p>
        </w:tc>
        <w:tc>
          <w:tcPr>
            <w:tcW w:type="dxa" w:w="3120"/>
            <w:shd w:val="clear" w:color="auto" w:fill="EAF0FB"/>
          </w:tcPr>
          <w:p>
            <w:r>
              <w:rPr>
                <w:sz w:val="18"/>
              </w:rPr>
              <w:t>ALB continue a servir les cibles saines ; ASG remplace l'instance ; erreurs nulles.</w:t>
            </w:r>
          </w:p>
        </w:tc>
      </w:tr>
      <w:tr>
        <w:tc>
          <w:tcPr>
            <w:tcW w:type="dxa" w:w="3120"/>
          </w:tcPr>
          <w:p>
            <w:r>
              <w:rPr>
                <w:sz w:val="18"/>
              </w:rPr>
              <w:t>T-05 — Charge</w:t>
            </w:r>
          </w:p>
        </w:tc>
        <w:tc>
          <w:tcPr>
            <w:tcW w:type="dxa" w:w="3120"/>
          </w:tcPr>
          <w:p>
            <w:r>
              <w:rPr>
                <w:sz w:val="18"/>
              </w:rPr>
              <w:t>Executer le test avec 20 puis jusqu'a 100 utilisateurs simultanes.</w:t>
            </w:r>
          </w:p>
        </w:tc>
        <w:tc>
          <w:tcPr>
            <w:tcW w:type="dxa" w:w="3120"/>
          </w:tcPr>
          <w:p>
            <w:r>
              <w:rPr>
                <w:sz w:val="18"/>
              </w:rPr>
              <w:t>Rapport : commande, duree, taux d'erreurs, latences, metriques CloudWatch.</w:t>
            </w:r>
          </w:p>
        </w:tc>
      </w:tr>
      <w:tr>
        <w:tc>
          <w:tcPr>
            <w:tcW w:type="dxa" w:w="3120"/>
            <w:shd w:val="clear" w:color="auto" w:fill="EAF0FB"/>
          </w:tcPr>
          <w:p>
            <w:r>
              <w:rPr>
                <w:sz w:val="18"/>
              </w:rPr>
              <w:t>T-06 — Sauvegarde et restauration</w:t>
            </w:r>
          </w:p>
        </w:tc>
        <w:tc>
          <w:tcPr>
            <w:tcW w:type="dxa" w:w="3120"/>
            <w:shd w:val="clear" w:color="auto" w:fill="EAF0FB"/>
          </w:tcPr>
          <w:p>
            <w:r>
              <w:rPr>
                <w:sz w:val="18"/>
              </w:rPr>
              <w:t>Creer ou identifier une sauvegarde, restaurer selon la procedure retenue.</w:t>
            </w:r>
          </w:p>
        </w:tc>
        <w:tc>
          <w:tcPr>
            <w:tcW w:type="dxa" w:w="3120"/>
            <w:shd w:val="clear" w:color="auto" w:fill="EAF0FB"/>
          </w:tcPr>
          <w:p>
            <w:r>
              <w:rPr>
                <w:sz w:val="18"/>
              </w:rPr>
              <w:t>Restauration verifiee et RTO constate consigne.</w:t>
            </w:r>
          </w:p>
        </w:tc>
      </w:tr>
      <w:tr>
        <w:tc>
          <w:tcPr>
            <w:tcW w:type="dxa" w:w="3120"/>
          </w:tcPr>
          <w:p>
            <w:r>
              <w:rPr>
                <w:sz w:val="18"/>
              </w:rPr>
              <w:t>T-07 — Alarmes</w:t>
            </w:r>
          </w:p>
        </w:tc>
        <w:tc>
          <w:tcPr>
            <w:tcW w:type="dxa" w:w="3120"/>
          </w:tcPr>
          <w:p>
            <w:r>
              <w:rPr>
                <w:sz w:val="18"/>
              </w:rPr>
              <w:t>Declencher chaque alarme de maniere controlee (ex: arreter une instance).</w:t>
            </w:r>
          </w:p>
        </w:tc>
        <w:tc>
          <w:tcPr>
            <w:tcW w:type="dxa" w:w="3120"/>
          </w:tcPr>
          <w:p>
            <w:r>
              <w:rPr>
                <w:sz w:val="18"/>
              </w:rPr>
              <w:t>Seuil, transition d'etat, notification et retour a l'etat normal consignes.</w:t>
            </w:r>
          </w:p>
        </w:tc>
      </w:tr>
      <w:tr>
        <w:tc>
          <w:tcPr>
            <w:tcW w:type="dxa" w:w="3120"/>
            <w:shd w:val="clear" w:color="auto" w:fill="EAF0FB"/>
          </w:tcPr>
          <w:p>
            <w:r>
              <w:rPr>
                <w:sz w:val="18"/>
              </w:rPr>
              <w:t>T-08 — Mise a jour</w:t>
            </w:r>
          </w:p>
        </w:tc>
        <w:tc>
          <w:tcPr>
            <w:tcW w:type="dxa" w:w="3120"/>
            <w:shd w:val="clear" w:color="auto" w:fill="EAF0FB"/>
          </w:tcPr>
          <w:p>
            <w:r>
              <w:rPr>
                <w:sz w:val="18"/>
              </w:rPr>
              <w:t>Publier une version applicative via le script prevu.</w:t>
            </w:r>
          </w:p>
        </w:tc>
        <w:tc>
          <w:tcPr>
            <w:tcW w:type="dxa" w:w="3120"/>
            <w:shd w:val="clear" w:color="auto" w:fill="EAF0FB"/>
          </w:tcPr>
          <w:p>
            <w:r>
              <w:rPr>
                <w:sz w:val="18"/>
              </w:rPr>
              <w:t>Version attendue en service ; absence d'interruption totale observee.</w:t>
            </w:r>
          </w:p>
        </w:tc>
      </w:tr>
      <w:tr>
        <w:tc>
          <w:tcPr>
            <w:tcW w:type="dxa" w:w="3120"/>
          </w:tcPr>
          <w:p>
            <w:r>
              <w:rPr>
                <w:sz w:val="18"/>
              </w:rPr>
              <w:t>T-09 — Destruction</w:t>
            </w:r>
          </w:p>
        </w:tc>
        <w:tc>
          <w:tcPr>
            <w:tcW w:type="dxa" w:w="3120"/>
          </w:tcPr>
          <w:p>
            <w:r>
              <w:rPr>
                <w:sz w:val="18"/>
              </w:rPr>
              <w:t>Executer le script de destruction puis verifier l'inventaire des ressources.</w:t>
            </w:r>
          </w:p>
        </w:tc>
        <w:tc>
          <w:tcPr>
            <w:tcW w:type="dxa" w:w="3120"/>
          </w:tcPr>
          <w:p>
            <w:r>
              <w:rPr>
                <w:sz w:val="18"/>
              </w:rPr>
              <w:t>Ressources facturees a l'heure supprimees ; exceptions documentees.</w:t>
            </w:r>
          </w:p>
        </w:tc>
      </w:tr>
      <w:tr>
        <w:tc>
          <w:tcPr>
            <w:tcW w:type="dxa" w:w="3120"/>
            <w:shd w:val="clear" w:color="auto" w:fill="EAF0FB"/>
          </w:tcPr>
          <w:p>
            <w:r>
              <w:rPr>
                <w:sz w:val="18"/>
              </w:rPr>
              <w:t>T-10 — Reconstruction</w:t>
            </w:r>
          </w:p>
        </w:tc>
        <w:tc>
          <w:tcPr>
            <w:tcW w:type="dxa" w:w="3120"/>
            <w:shd w:val="clear" w:color="auto" w:fill="EAF0FB"/>
          </w:tcPr>
          <w:p>
            <w:r>
              <w:rPr>
                <w:sz w:val="18"/>
              </w:rPr>
              <w:t>Apres T-09, redeployer depuis le depot.</w:t>
            </w:r>
          </w:p>
        </w:tc>
        <w:tc>
          <w:tcPr>
            <w:tcW w:type="dxa" w:w="3120"/>
            <w:shd w:val="clear" w:color="auto" w:fill="EAF0FB"/>
          </w:tcPr>
          <w:p>
            <w:r>
              <w:rPr>
                <w:sz w:val="18"/>
              </w:rPr>
              <w:t>Service de nouveau accessible ; duree comparee a l'objectif (mesure : 3m26s).</w:t>
            </w:r>
          </w:p>
        </w:tc>
      </w:tr>
    </w:tbl>
    <w:p/>
    <w:p>
      <w:pPr>
        <w:pStyle w:val="Heading1"/>
        <w:spacing w:before="360" w:after="120"/>
      </w:pPr>
      <w:r>
        <w:rPr>
          <w:color w:val="004E9A"/>
          <w:sz w:val="32"/>
        </w:rPr>
        <w:t>ANNEXE E — Livrables et Calendrier (14 semaines)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4E9A"/>
          </w:tcPr>
          <w:p>
            <w:r>
              <w:rPr>
                <w:b/>
                <w:color w:val="FFFFFF"/>
                <w:sz w:val="18"/>
              </w:rPr>
              <w:t>Livrable</w:t>
            </w:r>
          </w:p>
        </w:tc>
        <w:tc>
          <w:tcPr>
            <w:tcW w:type="dxa" w:w="3120"/>
            <w:shd w:val="clear" w:color="auto" w:fill="004E9A"/>
          </w:tcPr>
          <w:p>
            <w:r>
              <w:rPr>
                <w:b/>
                <w:color w:val="FFFFFF"/>
                <w:sz w:val="18"/>
              </w:rPr>
              <w:t>Semaines</w:t>
            </w:r>
          </w:p>
        </w:tc>
        <w:tc>
          <w:tcPr>
            <w:tcW w:type="dxa" w:w="3120"/>
            <w:shd w:val="clear" w:color="auto" w:fill="004E9A"/>
          </w:tcPr>
          <w:p>
            <w:r>
              <w:rPr>
                <w:b/>
                <w:color w:val="FFFFFF"/>
                <w:sz w:val="18"/>
              </w:rPr>
              <w:t>Contenu attendu</w:t>
            </w:r>
          </w:p>
        </w:tc>
      </w:tr>
      <w:tr>
        <w:tc>
          <w:tcPr>
            <w:tcW w:type="dxa" w:w="3120"/>
          </w:tcPr>
          <w:p>
            <w:r>
              <w:rPr>
                <w:sz w:val="18"/>
              </w:rPr>
              <w:t>L1 — Sujet et exigences</w:t>
            </w:r>
          </w:p>
        </w:tc>
        <w:tc>
          <w:tcPr>
            <w:tcW w:type="dxa" w:w="3120"/>
          </w:tcPr>
          <w:p>
            <w:r>
              <w:rPr>
                <w:sz w:val="18"/>
              </w:rPr>
              <w:t>1-2</w:t>
            </w:r>
          </w:p>
        </w:tc>
        <w:tc>
          <w:tcPr>
            <w:tcW w:type="dxa" w:w="3120"/>
          </w:tcPr>
          <w:p>
            <w:r>
              <w:rPr>
                <w:sz w:val="18"/>
              </w:rPr>
              <w:t>Sujet, application, membres, objectifs mesurables, risques initiaux et cahier des charges.</w:t>
            </w:r>
          </w:p>
        </w:tc>
      </w:tr>
      <w:tr>
        <w:tc>
          <w:tcPr>
            <w:tcW w:type="dxa" w:w="3120"/>
            <w:shd w:val="clear" w:color="auto" w:fill="EAF0FB"/>
          </w:tcPr>
          <w:p>
            <w:r>
              <w:rPr>
                <w:sz w:val="18"/>
              </w:rPr>
              <w:t>L2 — Architecture et budget</w:t>
            </w:r>
          </w:p>
        </w:tc>
        <w:tc>
          <w:tcPr>
            <w:tcW w:type="dxa" w:w="3120"/>
            <w:shd w:val="clear" w:color="auto" w:fill="EAF0FB"/>
          </w:tcPr>
          <w:p>
            <w:r>
              <w:rPr>
                <w:sz w:val="18"/>
              </w:rPr>
              <w:t>3-4</w:t>
            </w:r>
          </w:p>
        </w:tc>
        <w:tc>
          <w:tcPr>
            <w:tcW w:type="dxa" w:w="3120"/>
            <w:shd w:val="clear" w:color="auto" w:fill="EAF0FB"/>
          </w:tcPr>
          <w:p>
            <w:r>
              <w:rPr>
                <w:sz w:val="18"/>
              </w:rPr>
              <w:t>Architecture detaillee, services justifies selon 5 axes, decisions, estimation de cout.</w:t>
            </w:r>
          </w:p>
        </w:tc>
      </w:tr>
      <w:tr>
        <w:tc>
          <w:tcPr>
            <w:tcW w:type="dxa" w:w="3120"/>
          </w:tcPr>
          <w:p>
            <w:r>
              <w:rPr>
                <w:sz w:val="18"/>
              </w:rPr>
              <w:t>L3 — Reseau et calcul</w:t>
            </w:r>
          </w:p>
        </w:tc>
        <w:tc>
          <w:tcPr>
            <w:tcW w:type="dxa" w:w="3120"/>
          </w:tcPr>
          <w:p>
            <w:r>
              <w:rPr>
                <w:sz w:val="18"/>
              </w:rPr>
              <w:t>5-6</w:t>
            </w:r>
          </w:p>
        </w:tc>
        <w:tc>
          <w:tcPr>
            <w:tcW w:type="dxa" w:w="3120"/>
          </w:tcPr>
          <w:p>
            <w:r>
              <w:rPr>
                <w:sz w:val="18"/>
              </w:rPr>
              <w:t>VPC, sous-reseaux multi-AZ, routage, securite, EC2 initiale, Terraform IaC, demo live.</w:t>
            </w:r>
          </w:p>
        </w:tc>
      </w:tr>
      <w:tr>
        <w:tc>
          <w:tcPr>
            <w:tcW w:type="dxa" w:w="3120"/>
            <w:shd w:val="clear" w:color="auto" w:fill="EAF0FB"/>
          </w:tcPr>
          <w:p>
            <w:r>
              <w:rPr>
                <w:sz w:val="18"/>
              </w:rPr>
              <w:t>L4 — Haute disponibilite</w:t>
            </w:r>
          </w:p>
        </w:tc>
        <w:tc>
          <w:tcPr>
            <w:tcW w:type="dxa" w:w="3120"/>
            <w:shd w:val="clear" w:color="auto" w:fill="EAF0FB"/>
          </w:tcPr>
          <w:p>
            <w:r>
              <w:rPr>
                <w:sz w:val="18"/>
              </w:rPr>
              <w:t>7-8</w:t>
            </w:r>
          </w:p>
        </w:tc>
        <w:tc>
          <w:tcPr>
            <w:tcW w:type="dxa" w:w="3120"/>
            <w:shd w:val="clear" w:color="auto" w:fill="EAF0FB"/>
          </w:tcPr>
          <w:p>
            <w:r>
              <w:rPr>
                <w:sz w:val="18"/>
              </w:rPr>
              <w:t>ALB, health check, Launch Template, ASG multi-AZ, application accessible et resiliente.</w:t>
            </w:r>
          </w:p>
        </w:tc>
      </w:tr>
      <w:tr>
        <w:tc>
          <w:tcPr>
            <w:tcW w:type="dxa" w:w="3120"/>
          </w:tcPr>
          <w:p>
            <w:r>
              <w:rPr>
                <w:sz w:val="18"/>
              </w:rPr>
              <w:t>L5 — Donnees et sauvegarde</w:t>
            </w:r>
          </w:p>
        </w:tc>
        <w:tc>
          <w:tcPr>
            <w:tcW w:type="dxa" w:w="3120"/>
          </w:tcPr>
          <w:p>
            <w:r>
              <w:rPr>
                <w:sz w:val="18"/>
              </w:rPr>
              <w:t>9-10</w:t>
            </w:r>
          </w:p>
        </w:tc>
        <w:tc>
          <w:tcPr>
            <w:tcW w:type="dxa" w:w="3120"/>
          </w:tcPr>
          <w:p>
            <w:r>
              <w:rPr>
                <w:sz w:val="18"/>
              </w:rPr>
              <w:t>RDS prive, S3, sauvegarde, restauration et reconstruction complete mesuree.</w:t>
            </w:r>
          </w:p>
        </w:tc>
      </w:tr>
      <w:tr>
        <w:tc>
          <w:tcPr>
            <w:tcW w:type="dxa" w:w="3120"/>
            <w:shd w:val="clear" w:color="auto" w:fill="EAF0FB"/>
          </w:tcPr>
          <w:p>
            <w:r>
              <w:rPr>
                <w:sz w:val="18"/>
              </w:rPr>
              <w:t>L6 — Supervision, securite, cout</w:t>
            </w:r>
          </w:p>
        </w:tc>
        <w:tc>
          <w:tcPr>
            <w:tcW w:type="dxa" w:w="3120"/>
            <w:shd w:val="clear" w:color="auto" w:fill="EAF0FB"/>
          </w:tcPr>
          <w:p>
            <w:r>
              <w:rPr>
                <w:sz w:val="18"/>
              </w:rPr>
              <w:t>11-12</w:t>
            </w:r>
          </w:p>
        </w:tc>
        <w:tc>
          <w:tcPr>
            <w:tcW w:type="dxa" w:w="3120"/>
            <w:shd w:val="clear" w:color="auto" w:fill="EAF0FB"/>
          </w:tcPr>
          <w:p>
            <w:r>
              <w:rPr>
                <w:sz w:val="18"/>
              </w:rPr>
              <w:t>Journaux, tableau de bord, deux alarmes, secrets, audit reseau et optimisation budgetaire.</w:t>
            </w:r>
          </w:p>
        </w:tc>
      </w:tr>
      <w:tr>
        <w:tc>
          <w:tcPr>
            <w:tcW w:type="dxa" w:w="3120"/>
          </w:tcPr>
          <w:p>
            <w:r>
              <w:rPr>
                <w:sz w:val="18"/>
              </w:rPr>
              <w:t>L7 — Exploitation et soutenance</w:t>
            </w:r>
          </w:p>
        </w:tc>
        <w:tc>
          <w:tcPr>
            <w:tcW w:type="dxa" w:w="3120"/>
          </w:tcPr>
          <w:p>
            <w:r>
              <w:rPr>
                <w:sz w:val="18"/>
              </w:rPr>
              <w:t>13-14</w:t>
            </w:r>
          </w:p>
        </w:tc>
        <w:tc>
          <w:tcPr>
            <w:tcW w:type="dxa" w:w="3120"/>
          </w:tcPr>
          <w:p>
            <w:r>
              <w:rPr>
                <w:sz w:val="18"/>
              </w:rPr>
              <w:t>Test de charge, exercice d'incident, rapport, documentation finale, demonstration.</w:t>
            </w:r>
          </w:p>
        </w:tc>
      </w:tr>
    </w:tbl>
    <w:p/>
    <w:p>
      <w:pPr>
        <w:pStyle w:val="Heading1"/>
        <w:spacing w:before="360" w:after="120"/>
      </w:pPr>
      <w:r>
        <w:rPr>
          <w:color w:val="004E9A"/>
          <w:sz w:val="32"/>
        </w:rPr>
        <w:t>ANNEXE F — Organisation de l'Equipe</w:t>
      </w:r>
    </w:p>
    <w:p>
      <w:pPr>
        <w:spacing w:after="80"/>
      </w:pPr>
      <w:r>
        <w:rPr>
          <w:sz w:val="22"/>
        </w:rPr>
        <w:t>Chaque membre participe a la revue du code, aux demonstrations et a la comprehension de l'ensemble de l'architecture.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4E9A"/>
          </w:tcPr>
          <w:p>
            <w:r>
              <w:rPr>
                <w:b/>
                <w:color w:val="FFFFFF"/>
                <w:sz w:val="18"/>
              </w:rPr>
              <w:t>Role</w:t>
            </w:r>
          </w:p>
        </w:tc>
        <w:tc>
          <w:tcPr>
            <w:tcW w:type="dxa" w:w="3120"/>
            <w:shd w:val="clear" w:color="auto" w:fill="004E9A"/>
          </w:tcPr>
          <w:p>
            <w:r>
              <w:rPr>
                <w:b/>
                <w:color w:val="FFFFFF"/>
                <w:sz w:val="18"/>
              </w:rPr>
              <w:t>Etudiant</w:t>
            </w:r>
          </w:p>
        </w:tc>
        <w:tc>
          <w:tcPr>
            <w:tcW w:type="dxa" w:w="3120"/>
            <w:shd w:val="clear" w:color="auto" w:fill="004E9A"/>
          </w:tcPr>
          <w:p>
            <w:r>
              <w:rPr>
                <w:b/>
                <w:color w:val="FFFFFF"/>
                <w:sz w:val="18"/>
              </w:rPr>
              <w:t>Responsabilites principales</w:t>
            </w:r>
          </w:p>
        </w:tc>
      </w:tr>
      <w:tr>
        <w:tc>
          <w:tcPr>
            <w:tcW w:type="dxa" w:w="3120"/>
          </w:tcPr>
          <w:p>
            <w:r>
              <w:rPr>
                <w:sz w:val="18"/>
              </w:rPr>
              <w:t>Responsable infrastructure / IaC</w:t>
            </w:r>
          </w:p>
        </w:tc>
        <w:tc>
          <w:tcPr>
            <w:tcW w:type="dxa" w:w="3120"/>
          </w:tcPr>
          <w:p>
            <w:r>
              <w:rPr>
                <w:sz w:val="18"/>
              </w:rPr>
              <w:t>LAAMERI Mohamed</w:t>
            </w:r>
          </w:p>
        </w:tc>
        <w:tc>
          <w:tcPr>
            <w:tcW w:type="dxa" w:w="3120"/>
          </w:tcPr>
          <w:p>
            <w:r>
              <w:rPr>
                <w:sz w:val="18"/>
              </w:rPr>
              <w:t>Modules Terraform, reseau, calcul, etat et reproductibilite.</w:t>
            </w:r>
          </w:p>
        </w:tc>
      </w:tr>
      <w:tr>
        <w:tc>
          <w:tcPr>
            <w:tcW w:type="dxa" w:w="3120"/>
            <w:shd w:val="clear" w:color="auto" w:fill="EAF0FB"/>
          </w:tcPr>
          <w:p>
            <w:r>
              <w:rPr>
                <w:sz w:val="18"/>
              </w:rPr>
              <w:t>Responsable application / deploiement</w:t>
            </w:r>
          </w:p>
        </w:tc>
        <w:tc>
          <w:tcPr>
            <w:tcW w:type="dxa" w:w="3120"/>
            <w:shd w:val="clear" w:color="auto" w:fill="EAF0FB"/>
          </w:tcPr>
          <w:p>
            <w:r>
              <w:rPr>
                <w:sz w:val="18"/>
              </w:rPr>
              <w:t>JEBAHI Mohamed</w:t>
            </w:r>
          </w:p>
        </w:tc>
        <w:tc>
          <w:tcPr>
            <w:tcW w:type="dxa" w:w="3120"/>
            <w:shd w:val="clear" w:color="auto" w:fill="EAF0FB"/>
          </w:tcPr>
          <w:p>
            <w:r>
              <w:rPr>
                <w:sz w:val="18"/>
              </w:rPr>
              <w:t>Preparation de l'artefact, configuration Node.js, publication et tests.</w:t>
            </w:r>
          </w:p>
        </w:tc>
      </w:tr>
      <w:tr>
        <w:tc>
          <w:tcPr>
            <w:tcW w:type="dxa" w:w="3120"/>
          </w:tcPr>
          <w:p>
            <w:r>
              <w:rPr>
                <w:sz w:val="18"/>
              </w:rPr>
              <w:t>Responsable donnees / securite</w:t>
            </w:r>
          </w:p>
        </w:tc>
        <w:tc>
          <w:tcPr>
            <w:tcW w:type="dxa" w:w="3120"/>
          </w:tcPr>
          <w:p>
            <w:r>
              <w:rPr>
                <w:sz w:val="18"/>
              </w:rPr>
              <w:t>KAHLA Salma</w:t>
            </w:r>
          </w:p>
        </w:tc>
        <w:tc>
          <w:tcPr>
            <w:tcW w:type="dxa" w:w="3120"/>
          </w:tcPr>
          <w:p>
            <w:r>
              <w:rPr>
                <w:sz w:val="18"/>
              </w:rPr>
              <w:t>RDS, sauvegarde, regles reseau, secrets et controle d'acces.</w:t>
            </w:r>
          </w:p>
        </w:tc>
      </w:tr>
      <w:tr>
        <w:tc>
          <w:tcPr>
            <w:tcW w:type="dxa" w:w="3120"/>
            <w:shd w:val="clear" w:color="auto" w:fill="EAF0FB"/>
          </w:tcPr>
          <w:p>
            <w:r>
              <w:rPr>
                <w:sz w:val="18"/>
              </w:rPr>
              <w:t>Responsable supervision / exploitation</w:t>
            </w:r>
          </w:p>
        </w:tc>
        <w:tc>
          <w:tcPr>
            <w:tcW w:type="dxa" w:w="3120"/>
            <w:shd w:val="clear" w:color="auto" w:fill="EAF0FB"/>
          </w:tcPr>
          <w:p>
            <w:r>
              <w:rPr>
                <w:sz w:val="18"/>
              </w:rPr>
              <w:t>CHAIBI Arij</w:t>
            </w:r>
          </w:p>
        </w:tc>
        <w:tc>
          <w:tcPr>
            <w:tcW w:type="dxa" w:w="3120"/>
            <w:shd w:val="clear" w:color="auto" w:fill="EAF0FB"/>
          </w:tcPr>
          <w:p>
            <w:r>
              <w:rPr>
                <w:sz w:val="18"/>
              </w:rPr>
              <w:t>CloudWatch, alarmes, tests de panne, journaux et procedures.</w:t>
            </w:r>
          </w:p>
        </w:tc>
      </w:tr>
      <w:tr>
        <w:tc>
          <w:tcPr>
            <w:tcW w:type="dxa" w:w="3120"/>
          </w:tcPr>
          <w:p>
            <w:r>
              <w:rPr>
                <w:sz w:val="18"/>
              </w:rPr>
              <w:t>Responsable documentation / couts</w:t>
            </w:r>
          </w:p>
        </w:tc>
        <w:tc>
          <w:tcPr>
            <w:tcW w:type="dxa" w:w="3120"/>
          </w:tcPr>
          <w:p>
            <w:r>
              <w:rPr>
                <w:sz w:val="18"/>
              </w:rPr>
              <w:t>KHARRAT Mouheddin</w:t>
            </w:r>
          </w:p>
        </w:tc>
        <w:tc>
          <w:tcPr>
            <w:tcW w:type="dxa" w:w="3120"/>
          </w:tcPr>
          <w:p>
            <w:r>
              <w:rPr>
                <w:sz w:val="18"/>
              </w:rPr>
              <w:t>Livrables, suivi budgetaire, compte rendu des seances et preuves.</w:t>
            </w:r>
          </w:p>
        </w:tc>
      </w:tr>
    </w:tbl>
    <w:p/>
    <w:p>
      <w:pPr>
        <w:pStyle w:val="Heading1"/>
        <w:spacing w:before="360" w:after="120"/>
      </w:pPr>
      <w:r>
        <w:rPr>
          <w:color w:val="004E9A"/>
          <w:sz w:val="32"/>
        </w:rPr>
        <w:t>ANNEXE G — Risques et Mesures de Maitrise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04E9A"/>
          </w:tcPr>
          <w:p>
            <w:r>
              <w:rPr>
                <w:b/>
                <w:color w:val="FFFFFF"/>
                <w:sz w:val="18"/>
              </w:rPr>
              <w:t>Risque</w:t>
            </w:r>
          </w:p>
        </w:tc>
        <w:tc>
          <w:tcPr>
            <w:tcW w:type="dxa" w:w="3120"/>
            <w:shd w:val="clear" w:color="auto" w:fill="004E9A"/>
          </w:tcPr>
          <w:p>
            <w:r>
              <w:rPr>
                <w:b/>
                <w:color w:val="FFFFFF"/>
                <w:sz w:val="18"/>
              </w:rPr>
              <w:t>Impact</w:t>
            </w:r>
          </w:p>
        </w:tc>
        <w:tc>
          <w:tcPr>
            <w:tcW w:type="dxa" w:w="3120"/>
            <w:shd w:val="clear" w:color="auto" w:fill="004E9A"/>
          </w:tcPr>
          <w:p>
            <w:r>
              <w:rPr>
                <w:b/>
                <w:color w:val="FFFFFF"/>
                <w:sz w:val="18"/>
              </w:rPr>
              <w:t>Mesure de maitrise</w:t>
            </w:r>
          </w:p>
        </w:tc>
      </w:tr>
      <w:tr>
        <w:tc>
          <w:tcPr>
            <w:tcW w:type="dxa" w:w="3120"/>
          </w:tcPr>
          <w:p>
            <w:r>
              <w:rPr>
                <w:sz w:val="18"/>
              </w:rPr>
              <w:t>Epuisement du credit AWS</w:t>
            </w:r>
          </w:p>
        </w:tc>
        <w:tc>
          <w:tcPr>
            <w:tcW w:type="dxa" w:w="3120"/>
          </w:tcPr>
          <w:p>
            <w:r>
              <w:rPr>
                <w:sz w:val="18"/>
              </w:rPr>
              <w:t>Perte de l'environnement, impossibilite de poursuivre les essais.</w:t>
            </w:r>
          </w:p>
        </w:tc>
        <w:tc>
          <w:tcPr>
            <w:tcW w:type="dxa" w:w="3120"/>
          </w:tcPr>
          <w:p>
            <w:r>
              <w:rPr>
                <w:sz w:val="18"/>
              </w:rPr>
              <w:t>Detruire les ressources horaires apres chaque seance, controle des couts regulier.</w:t>
            </w:r>
          </w:p>
        </w:tc>
      </w:tr>
      <w:tr>
        <w:tc>
          <w:tcPr>
            <w:tcW w:type="dxa" w:w="3120"/>
            <w:shd w:val="clear" w:color="auto" w:fill="EAF0FB"/>
          </w:tcPr>
          <w:p>
            <w:r>
              <w:rPr>
                <w:sz w:val="18"/>
              </w:rPr>
              <w:t>Expiration des identifiants temporaires STS</w:t>
            </w:r>
          </w:p>
        </w:tc>
        <w:tc>
          <w:tcPr>
            <w:tcW w:type="dxa" w:w="3120"/>
            <w:shd w:val="clear" w:color="auto" w:fill="EAF0FB"/>
          </w:tcPr>
          <w:p>
            <w:r>
              <w:rPr>
                <w:sz w:val="18"/>
              </w:rPr>
              <w:t>Echec des commandes Terraform ou des scripts (erreur 403).</w:t>
            </w:r>
          </w:p>
        </w:tc>
        <w:tc>
          <w:tcPr>
            <w:tcW w:type="dxa" w:w="3120"/>
            <w:shd w:val="clear" w:color="auto" w:fill="EAF0FB"/>
          </w:tcPr>
          <w:p>
            <w:r>
              <w:rPr>
                <w:sz w:val="18"/>
              </w:rPr>
              <w:t>Procedure de rechargement documentee (Start Lab &gt; AWS Details &gt; Show &gt; copier dans ~/.aws/credentials).</w:t>
            </w:r>
          </w:p>
        </w:tc>
      </w:tr>
      <w:tr>
        <w:tc>
          <w:tcPr>
            <w:tcW w:type="dxa" w:w="3120"/>
          </w:tcPr>
          <w:p>
            <w:r>
              <w:rPr>
                <w:sz w:val="18"/>
              </w:rPr>
              <w:t>Permissions IAM Learner Lab insuffisantes</w:t>
            </w:r>
          </w:p>
        </w:tc>
        <w:tc>
          <w:tcPr>
            <w:tcW w:type="dxa" w:w="3120"/>
          </w:tcPr>
          <w:p>
            <w:r>
              <w:rPr>
                <w:sz w:val="18"/>
              </w:rPr>
              <w:t>Deploiement partiel ou service indisponible.</w:t>
            </w:r>
          </w:p>
        </w:tc>
        <w:tc>
          <w:tcPr>
            <w:tcW w:type="dxa" w:w="3120"/>
          </w:tcPr>
          <w:p>
            <w:r>
              <w:rPr>
                <w:sz w:val="18"/>
              </w:rPr>
              <w:t>Verification precoce des actions autorisees ; repli justifie documente.</w:t>
            </w:r>
          </w:p>
        </w:tc>
      </w:tr>
      <w:tr>
        <w:tc>
          <w:tcPr>
            <w:tcW w:type="dxa" w:w="3120"/>
            <w:shd w:val="clear" w:color="auto" w:fill="EAF0FB"/>
          </w:tcPr>
          <w:p>
            <w:r>
              <w:rPr>
                <w:sz w:val="18"/>
              </w:rPr>
              <w:t>Cout ou quotas depasses (ALB, RDS, NAT)</w:t>
            </w:r>
          </w:p>
        </w:tc>
        <w:tc>
          <w:tcPr>
            <w:tcW w:type="dxa" w:w="3120"/>
            <w:shd w:val="clear" w:color="auto" w:fill="EAF0FB"/>
          </w:tcPr>
          <w:p>
            <w:r>
              <w:rPr>
                <w:sz w:val="18"/>
              </w:rPr>
              <w:t>Depassement du budget de 50 USD.</w:t>
            </w:r>
          </w:p>
        </w:tc>
        <w:tc>
          <w:tcPr>
            <w:tcW w:type="dxa" w:w="3120"/>
            <w:shd w:val="clear" w:color="auto" w:fill="EAF0FB"/>
          </w:tcPr>
          <w:p>
            <w:r>
              <w:rPr>
                <w:sz w:val="18"/>
              </w:rPr>
              <w:t>Deploiement uniquement pendant les seances, estimation prealable obligatoire.</w:t>
            </w:r>
          </w:p>
        </w:tc>
      </w:tr>
      <w:tr>
        <w:tc>
          <w:tcPr>
            <w:tcW w:type="dxa" w:w="3120"/>
          </w:tcPr>
          <w:p>
            <w:r>
              <w:rPr>
                <w:sz w:val="18"/>
              </w:rPr>
              <w:t>Perte de l'etat Terraform (.tfstate)</w:t>
            </w:r>
          </w:p>
        </w:tc>
        <w:tc>
          <w:tcPr>
            <w:tcW w:type="dxa" w:w="3120"/>
          </w:tcPr>
          <w:p>
            <w:r>
              <w:rPr>
                <w:sz w:val="18"/>
              </w:rPr>
              <w:t>Etat incoherent, ressources orphelines continuant de facturer.</w:t>
            </w:r>
          </w:p>
        </w:tc>
        <w:tc>
          <w:tcPr>
            <w:tcW w:type="dxa" w:w="3120"/>
          </w:tcPr>
          <w:p>
            <w:r>
              <w:rPr>
                <w:sz w:val="18"/>
              </w:rPr>
              <w:t>Ne jamais commiter le .tfstate ; procedure de sauvegarde/restauration documentee.</w:t>
            </w:r>
          </w:p>
        </w:tc>
      </w:tr>
      <w:tr>
        <w:tc>
          <w:tcPr>
            <w:tcW w:type="dxa" w:w="3120"/>
            <w:shd w:val="clear" w:color="auto" w:fill="EAF0FB"/>
          </w:tcPr>
          <w:p>
            <w:r>
              <w:rPr>
                <w:sz w:val="18"/>
              </w:rPr>
              <w:t>Secret expose dans Git, User Data ou logs</w:t>
            </w:r>
          </w:p>
        </w:tc>
        <w:tc>
          <w:tcPr>
            <w:tcW w:type="dxa" w:w="3120"/>
            <w:shd w:val="clear" w:color="auto" w:fill="EAF0FB"/>
          </w:tcPr>
          <w:p>
            <w:r>
              <w:rPr>
                <w:sz w:val="18"/>
              </w:rPr>
              <w:t>Compromission des ressources et donnees.</w:t>
            </w:r>
          </w:p>
        </w:tc>
        <w:tc>
          <w:tcPr>
            <w:tcW w:type="dxa" w:w="3120"/>
            <w:shd w:val="clear" w:color="auto" w:fill="EAF0FB"/>
          </w:tcPr>
          <w:p>
            <w:r>
              <w:rPr>
                <w:sz w:val="18"/>
              </w:rPr>
              <w:t>Controle systematique des commits, stockage protege, rotation et suppression documentes.</w:t>
            </w:r>
          </w:p>
        </w:tc>
      </w:tr>
      <w:tr>
        <w:tc>
          <w:tcPr>
            <w:tcW w:type="dxa" w:w="3120"/>
          </w:tcPr>
          <w:p>
            <w:r>
              <w:rPr>
                <w:sz w:val="18"/>
              </w:rPr>
              <w:t>Dependance externe indisponible (TMDB API)</w:t>
            </w:r>
          </w:p>
        </w:tc>
        <w:tc>
          <w:tcPr>
            <w:tcW w:type="dxa" w:w="3120"/>
          </w:tcPr>
          <w:p>
            <w:r>
              <w:rPr>
                <w:sz w:val="18"/>
              </w:rPr>
              <w:t>Echec de demarrage de l'application.</w:t>
            </w:r>
          </w:p>
        </w:tc>
        <w:tc>
          <w:tcPr>
            <w:tcW w:type="dxa" w:w="3120"/>
          </w:tcPr>
          <w:p>
            <w:r>
              <w:rPr>
                <w:sz w:val="18"/>
              </w:rPr>
              <w:t>Preparer les artefacts necessaires et documenter les dependances et solutions de repli.</w:t>
            </w:r>
          </w:p>
        </w:tc>
      </w:tr>
      <w:tr>
        <w:tc>
          <w:tcPr>
            <w:tcW w:type="dxa" w:w="3120"/>
            <w:shd w:val="clear" w:color="auto" w:fill="EAF0FB"/>
          </w:tcPr>
          <w:p>
            <w:r>
              <w:rPr>
                <w:sz w:val="18"/>
              </w:rPr>
              <w:t>Cibles de performance irrealistes pour t3.micro</w:t>
            </w:r>
          </w:p>
        </w:tc>
        <w:tc>
          <w:tcPr>
            <w:tcW w:type="dxa" w:w="3120"/>
            <w:shd w:val="clear" w:color="auto" w:fill="EAF0FB"/>
          </w:tcPr>
          <w:p>
            <w:r>
              <w:rPr>
                <w:sz w:val="18"/>
              </w:rPr>
              <w:t>Echec des seuils de charge lors des tests.</w:t>
            </w:r>
          </w:p>
        </w:tc>
        <w:tc>
          <w:tcPr>
            <w:tcW w:type="dxa" w:w="3120"/>
            <w:shd w:val="clear" w:color="auto" w:fill="EAF0FB"/>
          </w:tcPr>
          <w:p>
            <w:r>
              <w:rPr>
                <w:sz w:val="18"/>
              </w:rPr>
              <w:t>Mesurer progressivement, distinguer cible et resultat, expliquer les limites.</w:t>
            </w:r>
          </w:p>
        </w:tc>
      </w:tr>
      <w:tr>
        <w:tc>
          <w:tcPr>
            <w:tcW w:type="dxa" w:w="3120"/>
          </w:tcPr>
          <w:p>
            <w:r>
              <w:rPr>
                <w:sz w:val="18"/>
              </w:rPr>
              <w:t>Instance NAT SPOF ou RDS Single-AZ</w:t>
            </w:r>
          </w:p>
        </w:tc>
        <w:tc>
          <w:tcPr>
            <w:tcW w:type="dxa" w:w="3120"/>
          </w:tcPr>
          <w:p>
            <w:r>
              <w:rPr>
                <w:sz w:val="18"/>
              </w:rPr>
              <w:t>Panne pouvant interrompre une fonction (acces sortant ou donnees).</w:t>
            </w:r>
          </w:p>
        </w:tc>
        <w:tc>
          <w:tcPr>
            <w:tcW w:type="dxa" w:w="3120"/>
          </w:tcPr>
          <w:p>
            <w:r>
              <w:rPr>
                <w:sz w:val="18"/>
              </w:rPr>
              <w:t>Documenter explicitement cette limite ; la distinguer de la resilience applicative.</w:t>
            </w:r>
          </w:p>
        </w:tc>
      </w:tr>
    </w:tbl>
    <w:p/>
    <w:p>
      <w:pPr>
        <w:pStyle w:val="Heading1"/>
        <w:spacing w:before="360" w:after="120"/>
      </w:pPr>
      <w:r>
        <w:rPr>
          <w:color w:val="004E9A"/>
          <w:sz w:val="32"/>
        </w:rPr>
        <w:t>ANNEXE H — Limites et Decisions a Valider</w:t>
      </w:r>
    </w:p>
    <w:p>
      <w:pPr>
        <w:pStyle w:val="ListParagraph"/>
        <w:spacing w:after="40"/>
        <w:ind w:left="425"/>
      </w:pPr>
      <w:r>
        <w:rPr>
          <w:sz w:val="22"/>
        </w:rPr>
        <w:t>1.  RDS Single-AZ retenu pour maitriser le budget (multi_az = false dans Terraform). Toute modification en Multi-AZ necessite une nouvelle estimation et l'accord de l'enseignant.</w:t>
      </w:r>
    </w:p>
    <w:p>
      <w:pPr>
        <w:pStyle w:val="ListParagraph"/>
        <w:spacing w:after="40"/>
        <w:ind w:left="425"/>
      </w:pPr>
      <w:r>
        <w:rPr>
          <w:sz w:val="22"/>
        </w:rPr>
        <w:t>2.  Resilience globale : l'ALB et les instances applicatives couvrent deux AZs, mais l'instance NAT et RDS Single-AZ restent des points de defaillance potentiels. Le projet demontre prioritairement la tolerance a la perte d'une instance applicative, pas une disponibilite continue face a toute panne.</w:t>
      </w:r>
    </w:p>
    <w:p>
      <w:pPr>
        <w:pStyle w:val="ListParagraph"/>
        <w:spacing w:after="40"/>
        <w:ind w:left="425"/>
      </w:pPr>
      <w:r>
        <w:rPr>
          <w:sz w:val="22"/>
        </w:rPr>
        <w:t>3.  Stockage des secrets : S3 chiffre est une solution de repli possible dans le laboratoire, mais doit etre protege par des permissions reellement applicables. Un secret dans le tfstate reste present meme si Terraform le marque sensible.</w:t>
      </w:r>
    </w:p>
    <w:p>
      <w:pPr>
        <w:pStyle w:val="ListParagraph"/>
        <w:spacing w:after="40"/>
        <w:ind w:left="425"/>
      </w:pPr>
      <w:r>
        <w:rPr>
          <w:sz w:val="22"/>
        </w:rPr>
        <w:t>4.  IAM et SSM : l'usage de LabInstanceProfile, LabRole et SSM depend des capacites effectives du compte. Leur disponibilite doit etre verifiee des le debut.</w:t>
      </w:r>
    </w:p>
    <w:p>
      <w:pPr>
        <w:pStyle w:val="ListParagraph"/>
        <w:spacing w:after="40"/>
        <w:ind w:left="425"/>
      </w:pPr>
      <w:r>
        <w:rPr>
          <w:sz w:val="22"/>
        </w:rPr>
        <w:t>5.  Charge : les objectifs de debit et de latence restent a confirmer par mesure ; ils ne sont pas garantis par l'architecture proposee sur t3.micro.</w:t>
      </w:r>
    </w:p>
    <w:p/>
    <w:p>
      <w:pPr>
        <w:pStyle w:val="Heading1"/>
        <w:spacing w:before="360" w:after="120"/>
      </w:pPr>
      <w:r>
        <w:rPr>
          <w:color w:val="004E9A"/>
          <w:sz w:val="32"/>
        </w:rPr>
        <w:t>ANNEXE I — Grille d'Evaluation Proposee</w:t>
      </w:r>
    </w:p>
    <w:p>
      <w:pPr>
        <w:spacing w:after="80"/>
      </w:pPr>
      <w:r>
        <w:rPr>
          <w:sz w:val="22"/>
        </w:rPr>
        <w:t>La grille de reference du projet est la suivante (sur 100 points) :</w:t>
      </w:r>
    </w:p>
    <w:tbl>
      <w:tblPr>
        <w:tblStyle w:val="TableGrid"/>
        <w:tblW w:type="auto" w:w="0"/>
        <w:tblLook w:firstColumn="1" w:firstRow="1" w:lastColumn="0" w:lastRow="0" w:noHBand="0" w:noVBand="1" w:val="04A0"/>
      </w:tblPr>
      <w:tblGrid>
        <w:gridCol w:w="4680"/>
        <w:gridCol w:w="4680"/>
      </w:tblGrid>
      <w:tr>
        <w:tc>
          <w:tcPr>
            <w:tcW w:type="dxa" w:w="4680"/>
            <w:shd w:val="clear" w:color="auto" w:fill="004E9A"/>
          </w:tcPr>
          <w:p>
            <w:r>
              <w:rPr>
                <w:b/>
                <w:color w:val="FFFFFF"/>
                <w:sz w:val="18"/>
              </w:rPr>
              <w:t>Critere d'evaluation</w:t>
            </w:r>
          </w:p>
        </w:tc>
        <w:tc>
          <w:tcPr>
            <w:tcW w:type="dxa" w:w="4680"/>
            <w:shd w:val="clear" w:color="auto" w:fill="004E9A"/>
          </w:tcPr>
          <w:p>
            <w:r>
              <w:rPr>
                <w:b/>
                <w:color w:val="FFFFFF"/>
                <w:sz w:val="18"/>
              </w:rPr>
              <w:t>Ponderation</w:t>
            </w:r>
          </w:p>
        </w:tc>
      </w:tr>
      <w:tr>
        <w:tc>
          <w:tcPr>
            <w:tcW w:type="dxa" w:w="4680"/>
          </w:tcPr>
          <w:p>
            <w:r>
              <w:rPr>
                <w:sz w:val="18"/>
              </w:rPr>
              <w:t>Architecture et respect des services autorises</w:t>
            </w:r>
          </w:p>
        </w:tc>
        <w:tc>
          <w:tcPr>
            <w:tcW w:type="dxa" w:w="4680"/>
          </w:tcPr>
          <w:p>
            <w:r>
              <w:rPr>
                <w:sz w:val="18"/>
              </w:rPr>
              <w:t>20 %</w:t>
            </w:r>
          </w:p>
        </w:tc>
      </w:tr>
      <w:tr>
        <w:tc>
          <w:tcPr>
            <w:tcW w:type="dxa" w:w="4680"/>
            <w:shd w:val="clear" w:color="auto" w:fill="EAF0FB"/>
          </w:tcPr>
          <w:p>
            <w:r>
              <w:rPr>
                <w:sz w:val="18"/>
              </w:rPr>
              <w:t>Infrastructure as Code : reproductibilite, structure, qualite</w:t>
            </w:r>
          </w:p>
        </w:tc>
        <w:tc>
          <w:tcPr>
            <w:tcW w:type="dxa" w:w="4680"/>
            <w:shd w:val="clear" w:color="auto" w:fill="EAF0FB"/>
          </w:tcPr>
          <w:p>
            <w:r>
              <w:rPr>
                <w:sz w:val="18"/>
              </w:rPr>
              <w:t>20 %</w:t>
            </w:r>
          </w:p>
        </w:tc>
      </w:tr>
      <w:tr>
        <w:tc>
          <w:tcPr>
            <w:tcW w:type="dxa" w:w="4680"/>
          </w:tcPr>
          <w:p>
            <w:r>
              <w:rPr>
                <w:sz w:val="18"/>
              </w:rPr>
              <w:t>Haute disponibilite et resilience demontree</w:t>
            </w:r>
          </w:p>
        </w:tc>
        <w:tc>
          <w:tcPr>
            <w:tcW w:type="dxa" w:w="4680"/>
          </w:tcPr>
          <w:p>
            <w:r>
              <w:rPr>
                <w:sz w:val="18"/>
              </w:rPr>
              <w:t>15 %</w:t>
            </w:r>
          </w:p>
        </w:tc>
      </w:tr>
      <w:tr>
        <w:tc>
          <w:tcPr>
            <w:tcW w:type="dxa" w:w="4680"/>
            <w:shd w:val="clear" w:color="auto" w:fill="EAF0FB"/>
          </w:tcPr>
          <w:p>
            <w:r>
              <w:rPr>
                <w:sz w:val="18"/>
              </w:rPr>
              <w:t>Donnees, segmentation, sauvegarde et restauration</w:t>
            </w:r>
          </w:p>
        </w:tc>
        <w:tc>
          <w:tcPr>
            <w:tcW w:type="dxa" w:w="4680"/>
            <w:shd w:val="clear" w:color="auto" w:fill="EAF0FB"/>
          </w:tcPr>
          <w:p>
            <w:r>
              <w:rPr>
                <w:sz w:val="18"/>
              </w:rPr>
              <w:t>10 %</w:t>
            </w:r>
          </w:p>
        </w:tc>
      </w:tr>
      <w:tr>
        <w:tc>
          <w:tcPr>
            <w:tcW w:type="dxa" w:w="4680"/>
          </w:tcPr>
          <w:p>
            <w:r>
              <w:rPr>
                <w:sz w:val="18"/>
              </w:rPr>
              <w:t>Securite, supervision et gestion des secrets</w:t>
            </w:r>
          </w:p>
        </w:tc>
        <w:tc>
          <w:tcPr>
            <w:tcW w:type="dxa" w:w="4680"/>
          </w:tcPr>
          <w:p>
            <w:r>
              <w:rPr>
                <w:sz w:val="18"/>
              </w:rPr>
              <w:t>15 %</w:t>
            </w:r>
          </w:p>
        </w:tc>
      </w:tr>
      <w:tr>
        <w:tc>
          <w:tcPr>
            <w:tcW w:type="dxa" w:w="4680"/>
            <w:shd w:val="clear" w:color="auto" w:fill="EAF0FB"/>
          </w:tcPr>
          <w:p>
            <w:r>
              <w:rPr>
                <w:sz w:val="18"/>
              </w:rPr>
              <w:t>Exercice d'exploitation et rapport d'incident</w:t>
            </w:r>
          </w:p>
        </w:tc>
        <w:tc>
          <w:tcPr>
            <w:tcW w:type="dxa" w:w="4680"/>
            <w:shd w:val="clear" w:color="auto" w:fill="EAF0FB"/>
          </w:tcPr>
          <w:p>
            <w:r>
              <w:rPr>
                <w:sz w:val="18"/>
              </w:rPr>
              <w:t>10 %</w:t>
            </w:r>
          </w:p>
        </w:tc>
      </w:tr>
      <w:tr>
        <w:tc>
          <w:tcPr>
            <w:tcW w:type="dxa" w:w="4680"/>
          </w:tcPr>
          <w:p>
            <w:r>
              <w:rPr>
                <w:sz w:val="18"/>
              </w:rPr>
              <w:t>Maitrise du cout et optimisation mesuree</w:t>
            </w:r>
          </w:p>
        </w:tc>
        <w:tc>
          <w:tcPr>
            <w:tcW w:type="dxa" w:w="4680"/>
          </w:tcPr>
          <w:p>
            <w:r>
              <w:rPr>
                <w:sz w:val="18"/>
              </w:rPr>
              <w:t>5 %</w:t>
            </w:r>
          </w:p>
        </w:tc>
      </w:tr>
      <w:tr>
        <w:tc>
          <w:tcPr>
            <w:tcW w:type="dxa" w:w="4680"/>
            <w:shd w:val="clear" w:color="auto" w:fill="EAF0FB"/>
          </w:tcPr>
          <w:p>
            <w:r>
              <w:rPr>
                <w:sz w:val="18"/>
              </w:rPr>
              <w:t>Documentation, soutenance et justification des choix</w:t>
            </w:r>
          </w:p>
        </w:tc>
        <w:tc>
          <w:tcPr>
            <w:tcW w:type="dxa" w:w="4680"/>
            <w:shd w:val="clear" w:color="auto" w:fill="EAF0FB"/>
          </w:tcPr>
          <w:p>
            <w:r>
              <w:rPr>
                <w:sz w:val="18"/>
              </w:rPr>
              <w:t>3 %</w:t>
            </w:r>
          </w:p>
        </w:tc>
      </w:tr>
      <w:tr>
        <w:tc>
          <w:tcPr>
            <w:tcW w:type="dxa" w:w="4680"/>
          </w:tcPr>
          <w:p>
            <w:r>
              <w:rPr>
                <w:sz w:val="18"/>
              </w:rPr>
              <w:t>Progression et repartition du travail (Git commits)</w:t>
            </w:r>
          </w:p>
        </w:tc>
        <w:tc>
          <w:tcPr>
            <w:tcW w:type="dxa" w:w="4680"/>
          </w:tcPr>
          <w:p>
            <w:r>
              <w:rPr>
                <w:sz w:val="18"/>
              </w:rPr>
              <w:t>2 %</w:t>
            </w:r>
          </w:p>
        </w:tc>
      </w:tr>
    </w:tbl>
    <w:p>
      <w:pPr>
        <w:spacing w:after="80"/>
      </w:pPr>
      <w:r>
        <w:rPr>
          <w:sz w:val="22"/>
        </w:rPr>
        <w:t>Note : L'usage de Boto3 peut donner lieu au bonus annonce par l'enseignant (jusqu'a +5%) pour un outil reellement integre a l'exploitation (audit, nettoyage, test de charge ou rapport de couts). Ce bonus ne remplace pas les exigences obligatoires.</w:t>
      </w:r>
    </w:p>
    <w:p/>
    <w:p>
      <w:pPr>
        <w:pStyle w:val="Heading1"/>
        <w:spacing w:before="360" w:after="120"/>
      </w:pPr>
      <w:r>
        <w:rPr>
          <w:color w:val="004E9A"/>
          <w:sz w:val="32"/>
        </w:rPr>
        <w:t>ANNEXE J — Conditions de Reception Finale</w:t>
      </w:r>
    </w:p>
    <w:p>
      <w:pPr>
        <w:spacing w:after="80"/>
      </w:pPr>
      <w:r>
        <w:rPr>
          <w:sz w:val="22"/>
        </w:rPr>
        <w:t>Le projet est considere comme livre lorsque :</w:t>
      </w:r>
    </w:p>
    <w:p>
      <w:pPr>
        <w:pStyle w:val="ListParagraph"/>
        <w:spacing w:after="40"/>
        <w:ind w:left="425"/>
      </w:pPr>
      <w:r>
        <w:rPr>
          <w:sz w:val="22"/>
        </w:rPr>
        <w:t>•  L'architecture correspond au perimetre valide et les ressources sont decrites en Terraform.</w:t>
      </w:r>
    </w:p>
    <w:p>
      <w:pPr>
        <w:pStyle w:val="ListParagraph"/>
        <w:spacing w:after="40"/>
        <w:ind w:left="425"/>
      </w:pPr>
      <w:r>
        <w:rPr>
          <w:sz w:val="22"/>
        </w:rPr>
        <w:t>•  La procedure documentee deploie l'application et la rend accessible derriere l'ALB.</w:t>
      </w:r>
    </w:p>
    <w:p>
      <w:pPr>
        <w:pStyle w:val="ListParagraph"/>
        <w:spacing w:after="40"/>
        <w:ind w:left="425"/>
      </w:pPr>
      <w:r>
        <w:rPr>
          <w:sz w:val="22"/>
        </w:rPr>
        <w:t>•  L'ASG, le controle de sante et le comportement lors de la perte d'une instance sont demontres.</w:t>
      </w:r>
    </w:p>
    <w:p>
      <w:pPr>
        <w:pStyle w:val="ListParagraph"/>
        <w:spacing w:after="40"/>
        <w:ind w:left="425"/>
      </w:pPr>
      <w:r>
        <w:rPr>
          <w:sz w:val="22"/>
        </w:rPr>
        <w:t>•  RDS est prive et une restauration a ete realisee (ou les limites du laboratoire sont formellement justifiees).</w:t>
      </w:r>
    </w:p>
    <w:p>
      <w:pPr>
        <w:pStyle w:val="ListParagraph"/>
        <w:spacing w:after="40"/>
        <w:ind w:left="425"/>
      </w:pPr>
      <w:r>
        <w:rPr>
          <w:sz w:val="22"/>
        </w:rPr>
        <w:t>•  S3 est prive et utilise par le projet (artefact de deploiement).</w:t>
      </w:r>
    </w:p>
    <w:p>
      <w:pPr>
        <w:pStyle w:val="ListParagraph"/>
        <w:spacing w:after="40"/>
        <w:ind w:left="425"/>
      </w:pPr>
      <w:r>
        <w:rPr>
          <w:sz w:val="22"/>
        </w:rPr>
        <w:t>•  Les journaux, le tableau de bord et deux alarmes ont ete verifies.</w:t>
      </w:r>
    </w:p>
    <w:p>
      <w:pPr>
        <w:pStyle w:val="ListParagraph"/>
        <w:spacing w:after="40"/>
        <w:ind w:left="425"/>
      </w:pPr>
      <w:r>
        <w:rPr>
          <w:sz w:val="22"/>
        </w:rPr>
        <w:t>•  Les tests, mesures, incidents, couts et decisions sont consignes dans docs/.</w:t>
      </w:r>
    </w:p>
    <w:p>
      <w:pPr>
        <w:pStyle w:val="ListParagraph"/>
        <w:spacing w:after="40"/>
        <w:ind w:left="425"/>
      </w:pPr>
      <w:r>
        <w:rPr>
          <w:sz w:val="22"/>
        </w:rPr>
        <w:t>•  Aucun secret n'est present dans le depot ou les preuves.</w:t>
      </w:r>
    </w:p>
    <w:p>
      <w:pPr>
        <w:pStyle w:val="ListParagraph"/>
        <w:spacing w:after="40"/>
        <w:ind w:left="425"/>
      </w:pPr>
      <w:r>
        <w:rPr>
          <w:sz w:val="22"/>
        </w:rPr>
        <w:t>•  Le script de destruction a ete execute et les ressources restantes verifiees.</w:t>
      </w:r>
    </w:p>
    <w:p>
      <w:pPr>
        <w:pStyle w:val="ListParagraph"/>
        <w:spacing w:after="40"/>
        <w:ind w:left="425"/>
      </w:pPr>
      <w:r>
        <w:rPr>
          <w:sz w:val="22"/>
        </w:rPr>
        <w:t>•  Un membre de l'equipe autre que l'auteur principal peut suivre les instructions de reconstruction.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Cahier des charges — Projet CineTrekker</dc:title>
  <dc:description>Claude Docs node/59f7e875-3290@1 docx-w7</dc:description>
  <cp:revision>1</cp:revision>
</cp:coreProperties>
</file>