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word/stylesWithEffects.xml" ContentType="application/vnd.ms-word.stylesWithEffects+xml"/>
  <Override PartName="/word/webSettings.xml" ContentType="application/vnd.openxmlformats-officedocument.wordprocessingml.webSettings+xml"/>
  <Override PartName="/docProps/thumbnail.jpeg" ContentType="image/jpeg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thumbnail" Target="docProps/thumbnail.jpeg"/><Relationship Id="rId2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/>
    <w:p/>
    <w:p>
      <w:pPr>
        <w:jc w:val="center"/>
      </w:pPr>
      <w:r>
        <w:rPr>
          <w:b/>
          <w:color w:val="004E9A"/>
          <w:sz w:val="44"/>
        </w:rPr>
        <w:t xml:space="preserve">CAHIER DES CHARGES</w:t>
        <w:br/>
        <w:t xml:space="preserve">INFRASTRUCTURE CLOUD AWS — CINETREKKER</w:t>
      </w:r>
    </w:p>
    <w:p/>
    <w:p>
      <w:pPr>
        <w:jc w:val="center"/>
      </w:pPr>
      <w:r>
        <w:rPr>
          <w:sz w:val="26"/>
        </w:rPr>
        <w:t xml:space="preserve">Livrables L1, L2 et L3</w:t>
        <w:br/>
        <w:t xml:space="preserve">Module ING-4-CIM — Projet et Déploiement d'Infrastructure Cloud AWS</w:t>
      </w:r>
    </w:p>
    <w:p/>
    <w:p>
      <w:pPr>
        <w:jc w:val="center"/>
      </w:pPr>
      <w:r>
        <w:rPr>
          <w:sz w:val="22"/>
        </w:rPr>
        <w:t xml:space="preserve">Établissement : TEK-UP</w:t>
        <w:br/>
        <w:t xml:space="preserve">Promotion : ING-4   •   Enseignant : Hamdi Chebbi</w:t>
        <w:br/>
        <w:t xml:space="preserve">Octobre 2026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04E9A"/>
          <w:sz w:val="32"/>
        </w:rPr>
        <w:t xml:space="preserve">LIVRABLE 1 — Cahier des Charges &amp; Identification du Projet</w:t>
      </w: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1. Identification du Projet</w:t>
      </w:r>
    </w:p>
    <w:p>
      <w:pPr>
        <w:spacing w:after="80"/>
      </w:pPr>
      <w:r>
        <w:rPr>
          <w:b/>
          <w:sz w:val="22"/>
        </w:rPr>
        <w:t xml:space="preserve">Membres de l'équipe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>
        <w:tc>
          <w:tcPr>
            <w:tcW w:w="3135" w:type="dxa"/>
            <w:shd w:val="clear" w:color="auto" w:fill="004E9A"/>
          </w:tcPr>
          <w:p>
            <w:r>
              <w:rPr>
                <w:b/>
                <w:color w:val="FFFFFF"/>
              </w:rPr>
              <w:t xml:space="preserve">Étudiant</w:t>
            </w:r>
          </w:p>
        </w:tc>
        <w:tc>
          <w:tcPr>
            <w:tcW w:w="3135" w:type="dxa"/>
            <w:shd w:val="clear" w:color="auto" w:fill="004E9A"/>
          </w:tcPr>
          <w:p>
            <w:r>
              <w:rPr>
                <w:b/>
                <w:color w:val="FFFFFF"/>
              </w:rPr>
              <w:t xml:space="preserve">Rôle</w:t>
            </w:r>
          </w:p>
        </w:tc>
        <w:tc>
          <w:tcPr>
            <w:tcW w:w="3135" w:type="dxa"/>
            <w:shd w:val="clear" w:color="auto" w:fill="004E9A"/>
          </w:tcPr>
          <w:p>
            <w:r>
              <w:rPr>
                <w:b/>
                <w:color w:val="FFFFFF"/>
              </w:rPr>
              <w:t xml:space="preserve">Email</w:t>
            </w:r>
          </w:p>
        </w:tc>
      </w:tr>
      <w:tr>
        <w:tc>
          <w:tcPr>
            <w:tcW w:w="3135" w:type="dxa"/>
          </w:tcPr>
          <w:p>
            <w:r>
              <w:t xml:space="preserve">JEBAHI Mohamed</w:t>
            </w:r>
          </w:p>
        </w:tc>
        <w:tc>
          <w:tcPr>
            <w:tcW w:w="3135" w:type="dxa"/>
          </w:tcPr>
          <w:p>
            <w:r>
              <w:t xml:space="preserve">Lead Développeur Applicatif &amp; Intégration Cloud</w:t>
            </w:r>
          </w:p>
        </w:tc>
        <w:tc>
          <w:tcPr>
            <w:tcW w:w="3135" w:type="dxa"/>
          </w:tcPr>
          <w:p>
            <w:r>
              <w:t xml:space="preserve">mohamed.jebahi21@gmail.com</w:t>
            </w:r>
          </w:p>
        </w:tc>
      </w:tr>
      <w:tr>
        <w:tc>
          <w:tcPr>
            <w:tcW w:w="3135" w:type="dxa"/>
            <w:shd w:val="clear" w:color="auto" w:fill="EAF0FB"/>
          </w:tcPr>
          <w:p>
            <w:r>
              <w:t xml:space="preserve">LAAMERI Mohamed</w:t>
            </w:r>
          </w:p>
        </w:tc>
        <w:tc>
          <w:tcPr>
            <w:tcW w:w="3135" w:type="dxa"/>
            <w:shd w:val="clear" w:color="auto" w:fill="EAF0FB"/>
          </w:tcPr>
          <w:p>
            <w:r>
              <w:t xml:space="preserve">Lead Cloud Architect &amp; IaC Terraform Réseau/Calcul</w:t>
            </w:r>
          </w:p>
        </w:tc>
        <w:tc>
          <w:tcPr>
            <w:tcW w:w="3135" w:type="dxa"/>
            <w:shd w:val="clear" w:color="auto" w:fill="EAF0FB"/>
          </w:tcPr>
          <w:p>
            <w:r>
              <w:t xml:space="preserve">lamerimohamed870@gmail.com</w:t>
            </w:r>
          </w:p>
        </w:tc>
      </w:tr>
      <w:tr>
        <w:tc>
          <w:tcPr>
            <w:tcW w:w="3135" w:type="dxa"/>
          </w:tcPr>
          <w:p>
            <w:r>
              <w:t xml:space="preserve">KAHLA Salma</w:t>
            </w:r>
          </w:p>
        </w:tc>
        <w:tc>
          <w:tcPr>
            <w:tcW w:w="3135" w:type="dxa"/>
          </w:tcPr>
          <w:p>
            <w:r>
              <w:t xml:space="preserve">Ingénieure Sécurité Cloud &amp; Persistance des Données</w:t>
            </w:r>
          </w:p>
        </w:tc>
        <w:tc>
          <w:tcPr>
            <w:tcW w:w="3135" w:type="dxa"/>
          </w:tcPr>
          <w:p>
            <w:r>
              <w:t xml:space="preserve">salmabenkahla40@gmail.com</w:t>
            </w:r>
          </w:p>
        </w:tc>
      </w:tr>
      <w:tr>
        <w:tc>
          <w:tcPr>
            <w:tcW w:w="3135" w:type="dxa"/>
            <w:shd w:val="clear" w:color="auto" w:fill="EAF0FB"/>
          </w:tcPr>
          <w:p>
            <w:r>
              <w:t xml:space="preserve">CHAIBI Arij</w:t>
            </w:r>
          </w:p>
        </w:tc>
        <w:tc>
          <w:tcPr>
            <w:tcW w:w="3135" w:type="dxa"/>
            <w:shd w:val="clear" w:color="auto" w:fill="EAF0FB"/>
          </w:tcPr>
          <w:p>
            <w:r>
              <w:t xml:space="preserve">Ingénieure DevOps &amp; Automatisation Déploiement</w:t>
            </w:r>
          </w:p>
        </w:tc>
        <w:tc>
          <w:tcPr>
            <w:tcW w:w="3135" w:type="dxa"/>
            <w:shd w:val="clear" w:color="auto" w:fill="EAF0FB"/>
          </w:tcPr>
          <w:p>
            <w:r>
              <w:t xml:space="preserve">arijchaibi51@gmail.com</w:t>
            </w:r>
          </w:p>
        </w:tc>
      </w:tr>
      <w:tr>
        <w:tc>
          <w:tcPr>
            <w:tcW w:w="3135" w:type="dxa"/>
          </w:tcPr>
          <w:p>
            <w:r>
              <w:t xml:space="preserve">KHARRAT Mouheddin</w:t>
            </w:r>
          </w:p>
        </w:tc>
        <w:tc>
          <w:tcPr>
            <w:tcW w:w="3135" w:type="dxa"/>
          </w:tcPr>
          <w:p>
            <w:r>
              <w:t xml:space="preserve">Ingénieur Supervision, Observabilité &amp; Qualité</w:t>
            </w:r>
          </w:p>
        </w:tc>
        <w:tc>
          <w:tcPr>
            <w:tcW w:w="3135" w:type="dxa"/>
          </w:tcPr>
          <w:p>
            <w:r>
              <w:t xml:space="preserve">Mohidinemoha5@gmail.com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sz w:val="22"/>
        </w:rPr>
        <w:t xml:space="preserve">Dépôt Git du projet :</w:t>
      </w:r>
    </w:p>
    <w:p>
      <w:pPr>
        <w:spacing w:after="80"/>
        <w:rPr>
          <w:b w:val="0"/>
          <w:sz w:val="22"/>
        </w:rPr>
      </w:pPr>
      <w:r>
        <w:rPr>
          <w:b w:val="0"/>
          <w:sz w:val="22"/>
        </w:rPr>
        <w:t xml:space="preserve">https://github.com/MohamedJebahi21/projet-aws</w:t>
      </w: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2. Application Retenue : CineTrekker</w:t>
      </w:r>
    </w:p>
    <w:p>
      <w:pPr>
        <w:spacing w:after="80"/>
      </w:pPr>
      <w:r>
        <w:rPr>
          <w:b w:val="0"/>
          <w:sz w:val="22"/>
        </w:rPr>
        <w:t xml:space="preserve">CineTrekker est une plateforme web cinéphile moderne permettant l'exploration, le suivi de visionnage et la recommandation personnalisée de films et séries télévisées.</w:t>
      </w:r>
    </w:p>
    <w:p>
      <w:pPr>
        <w:pStyle w:val="Heading3"/>
        <w:spacing w:before="160" w:after="40"/>
      </w:pPr>
      <w:r>
        <w:t xml:space="preserve">2.1 Fonctionnalités Principales</w:t>
      </w:r>
    </w:p>
    <w:p>
      <w:pPr>
        <w:pStyle w:val="ListBullet"/>
        <w:spacing w:after="40"/>
        <w:ind w:left="0"/>
      </w:pPr>
      <w:r>
        <w:rPr>
          <w:sz w:val="22"/>
        </w:rPr>
        <w:t xml:space="preserve">Exploration multi-critères : tendances, genres, notes et dates de sortie via l'API TMDB.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Fiches détaillées : synopsis, casting, bandes-annonces vidéo et notes critiques.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Suivi personnel : Watchlist, Déjà vu, Favoris et suivi d'épisodes par saison.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Endpoint de santé /health répondant HTTP 200 JSON pour l'ALB Health Check.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Proxy API interne /api/tmdb-proxy sécurisant les requêtes sortantes.</w:t>
      </w:r>
    </w:p>
    <w:p>
      <w:pPr>
        <w:pStyle w:val="Heading3"/>
        <w:spacing w:before="160" w:after="40"/>
      </w:pPr>
      <w:r>
        <w:t xml:space="preserve">2.2 Stack Technique</w:t>
      </w:r>
    </w:p>
    <w:p>
      <w:pPr>
        <w:spacing w:after="80"/>
      </w:pPr>
      <w:r>
        <w:rPr>
          <w:b/>
          <w:sz w:val="22"/>
        </w:rPr>
        <w:t xml:space="preserve">Front-End :</w:t>
      </w:r>
    </w:p>
    <w:p>
      <w:pPr>
        <w:pStyle w:val="ListBullet"/>
        <w:spacing w:after="40"/>
        <w:ind w:left="0"/>
      </w:pPr>
      <w:r>
        <w:rPr>
          <w:sz w:val="22"/>
        </w:rPr>
        <w:t xml:space="preserve">React 19, TypeScript, Vite, Tailwind CSS, Radix UI — compilé en SPA statique (app/dist/).</w:t>
      </w:r>
    </w:p>
    <w:p>
      <w:pPr>
        <w:spacing w:after="80"/>
      </w:pPr>
      <w:r>
        <w:rPr>
          <w:b/>
          <w:sz w:val="22"/>
        </w:rPr>
        <w:t xml:space="preserve">Back-End :</w:t>
      </w:r>
    </w:p>
    <w:p>
      <w:pPr>
        <w:pStyle w:val="ListBullet"/>
        <w:spacing w:after="40"/>
        <w:ind w:left="0"/>
      </w:pPr>
      <w:r>
        <w:rPr>
          <w:sz w:val="22"/>
        </w:rPr>
        <w:t xml:space="preserve">Node.js ESM natif (app/server.js) — port 8080 — service systemd cinetrekker.service.</w:t>
      </w: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3. Composants Infrastructure (tirés du code Terraform)</w:t>
      </w:r>
    </w:p>
    <w:p>
      <w:pPr>
        <w:pStyle w:val="ListBullet"/>
        <w:spacing w:after="40"/>
        <w:ind w:left="0"/>
      </w:pPr>
      <w:r>
        <w:rPr>
          <w:sz w:val="22"/>
        </w:rPr>
        <w:t xml:space="preserve">VPC dédié 10.0.0.0/16 découpé en 6 sous-réseaux sur 2 AZs (us-east-1a et us-east-1b).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1 Application Load Balancer (ALB) public — port 80.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Auto Scaling Group : Min 1 / Desired 2 / Max 4 instances t3.micro Amazon Linux 2023.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1 Instance NAT EC2 t3.micro avec iptables MASQUERADE pour la sortie Internet privée.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VPC Gateway Endpoint S3 (gratuit) pour le téléchargement sécurisé des artefacts.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Bucket S3 privé chiffré SSE-S3 hébergeant cinetrekker.tar.gz.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3 Security Groups chaînés : alb-sg → app-sg → nat-sg (zéro port SSH exposé).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04E9A"/>
          <w:sz w:val="32"/>
        </w:rPr>
        <w:t xml:space="preserve">LIVRABLE 2 — Architecture &amp; Justification des Services</w:t>
      </w: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1. Schéma d'Architecture AWS (Texte structuré)</w:t>
      </w:r>
    </w:p>
    <w:p>
      <w:pPr>
        <w:spacing w:after="80"/>
      </w:pPr>
      <w:r>
        <w:rPr>
          <w:b w:val="0"/>
          <w:sz w:val="22"/>
        </w:rPr>
        <w:t xml:space="preserve">L'infrastructure est déployée dans la région us-east-1 (Virginie du Nord) sur 2 Zones de Disponibilité (us-east-1a et us-east-1b) :</w:t>
      </w:r>
    </w:p>
    <w:p>
      <w:pPr>
        <w:spacing w:after="0"/>
      </w:pPr>
      <w:r>
        <w:rPr>
          <w:rFonts w:ascii="Courier New" w:hAnsi="Courier New"/>
          <w:sz w:val="18"/>
        </w:rPr>
        <w:t xml:space="preserve">INTERNET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|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▼  HTTP :80</w:t>
      </w:r>
    </w:p>
    <w:p>
      <w:pPr>
        <w:spacing w:after="0"/>
      </w:pPr>
      <w:r>
        <w:rPr>
          <w:rFonts w:ascii="Courier New" w:hAnsi="Courier New"/>
          <w:sz w:val="18"/>
        </w:rPr>
        <w:t xml:space="preserve">[ Internet Gateway 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|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▼</w:t>
      </w:r>
    </w:p>
    <w:p>
      <w:pPr>
        <w:spacing w:after="0"/>
      </w:pPr>
      <w:r>
        <w:rPr>
          <w:rFonts w:ascii="Courier New" w:hAnsi="Courier New"/>
          <w:sz w:val="18"/>
        </w:rPr>
        <w:t xml:space="preserve">[ ALB — cinetrekker-dev-alb ]  alb-sg (port 80 public)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/                    \</w:t>
      </w:r>
    </w:p>
    <w:p>
      <w:pPr>
        <w:spacing w:after="0"/>
      </w:pPr>
      <w:r>
        <w:rPr>
          <w:rFonts w:ascii="Courier New" w:hAnsi="Courier New"/>
          <w:sz w:val="18"/>
        </w:rPr>
        <w:t xml:space="preserve">  ▼                      ▼  HTTP :8080</w:t>
      </w:r>
    </w:p>
    <w:p>
      <w:pPr>
        <w:spacing w:after="0"/>
      </w:pPr>
      <w:r>
        <w:rPr>
          <w:rFonts w:ascii="Courier New" w:hAnsi="Courier New"/>
          <w:sz w:val="18"/>
        </w:rPr>
        <w:t xml:space="preserve">[ EC2 App A — us-east-1a ]  [ EC2 App B — us-east-1b ]  (app-sg, sous-réseaux privés)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\                      /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▼    0.0.0.0/0 via NAT</w:t>
      </w:r>
    </w:p>
    <w:p>
      <w:pPr>
        <w:spacing w:after="0"/>
      </w:pPr>
      <w:r>
        <w:rPr>
          <w:rFonts w:ascii="Courier New" w:hAnsi="Courier New"/>
          <w:sz w:val="18"/>
        </w:rPr>
        <w:t xml:space="preserve">[ NAT Instance — us-east-1a ]  (nat-sg, sous-réseau public 1a)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|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▼ SNAT</w:t>
      </w:r>
    </w:p>
    <w:p>
      <w:pPr>
        <w:spacing w:after="0"/>
      </w:pPr>
      <w:r>
        <w:rPr>
          <w:rFonts w:ascii="Courier New" w:hAnsi="Courier New"/>
          <w:sz w:val="18"/>
        </w:rPr>
        <w:t xml:space="preserve">[ Internet Gateway ]  →  APIs Linux / TMDB</w:t>
      </w:r>
    </w:p>
    <w:p>
      <w:pPr>
        <w:spacing w:after="0"/>
      </w:pPr>
    </w:p>
    <w:p>
      <w:pPr>
        <w:spacing w:after="0"/>
      </w:pPr>
      <w:r>
        <w:rPr>
          <w:rFonts w:ascii="Courier New" w:hAnsi="Courier New"/>
          <w:sz w:val="18"/>
        </w:rPr>
        <w:t xml:space="preserve">EC2 App A &amp; B  →  (S3 VPC Gateway Endpoint)  →  Bucket S3 Privé</w:t>
      </w:r>
    </w:p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2. Plan d'Adressage Réseau (VPC 10.0.0.0/16)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w="1881" w:type="dxa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 xml:space="preserve">Sous-réseau</w:t>
            </w:r>
          </w:p>
        </w:tc>
        <w:tc>
          <w:tcPr>
            <w:tcW w:w="1881" w:type="dxa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 xml:space="preserve">AZ</w:t>
            </w:r>
          </w:p>
        </w:tc>
        <w:tc>
          <w:tcPr>
            <w:tcW w:w="1881" w:type="dxa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 xml:space="preserve">CIDR</w:t>
            </w:r>
          </w:p>
        </w:tc>
        <w:tc>
          <w:tcPr>
            <w:tcW w:w="1881" w:type="dxa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tcW w:w="1881" w:type="dxa"/>
            <w:shd w:val="clear" w:color="auto" w:fill="004E9A"/>
          </w:tcPr>
          <w:p>
            <w:r>
              <w:rPr>
                <w:b/>
                <w:color w:val="FFFFFF"/>
                <w:sz w:val="20"/>
              </w:rPr>
              <w:t xml:space="preserve">Rôle</w:t>
            </w:r>
          </w:p>
        </w:tc>
      </w:tr>
      <w:tr>
        <w:tc>
          <w:tcPr>
            <w:tcW w:w="1881" w:type="dxa"/>
          </w:tcPr>
          <w:p>
            <w:r>
              <w:rPr>
                <w:sz w:val="18"/>
              </w:rPr>
              <w:t xml:space="preserve">public-subnet-1a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us-east-1a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10.0.1.0/24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Public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ALB + NAT Instance</w:t>
            </w:r>
          </w:p>
        </w:tc>
      </w:tr>
      <w:tr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public-subnet-1b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us-east-1b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10.0.2.0/24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Public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Nœud ALB Zone B</w:t>
            </w:r>
          </w:p>
        </w:tc>
      </w:tr>
      <w:tr>
        <w:tc>
          <w:tcPr>
            <w:tcW w:w="1881" w:type="dxa"/>
          </w:tcPr>
          <w:p>
            <w:r>
              <w:rPr>
                <w:sz w:val="18"/>
              </w:rPr>
              <w:t xml:space="preserve">private-app-subnet-1a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us-east-1a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10.0.11.0/24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Privé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EC2 App A (ASG)</w:t>
            </w:r>
          </w:p>
        </w:tc>
      </w:tr>
      <w:tr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private-app-subnet-1b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us-east-1b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10.0.12.0/24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Privé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EC2 App B (ASG)</w:t>
            </w:r>
          </w:p>
        </w:tc>
      </w:tr>
      <w:tr>
        <w:tc>
          <w:tcPr>
            <w:tcW w:w="1881" w:type="dxa"/>
          </w:tcPr>
          <w:p>
            <w:r>
              <w:rPr>
                <w:sz w:val="18"/>
              </w:rPr>
              <w:t xml:space="preserve">private-db-subnet-1a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us-east-1a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10.0.21.0/24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Isolé</w:t>
            </w:r>
          </w:p>
        </w:tc>
        <w:tc>
          <w:tcPr>
            <w:tcW w:w="1881" w:type="dxa"/>
          </w:tcPr>
          <w:p>
            <w:r>
              <w:rPr>
                <w:sz w:val="18"/>
              </w:rPr>
              <w:t xml:space="preserve">Réservé Tiers Données</w:t>
            </w:r>
          </w:p>
        </w:tc>
      </w:tr>
      <w:tr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private-db-subnet-1b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us-east-1b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10.0.22.0/24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Isolé</w:t>
            </w:r>
          </w:p>
        </w:tc>
        <w:tc>
          <w:tcPr>
            <w:tcW w:w="1881" w:type="dxa"/>
            <w:shd w:val="clear" w:color="auto" w:fill="EAF0FB"/>
          </w:tcPr>
          <w:p>
            <w:r>
              <w:rPr>
                <w:sz w:val="18"/>
              </w:rPr>
              <w:t xml:space="preserve">Réservé Tiers Données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3. Justification des Services — 5 Axes d'Architecture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Service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Disponibilité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Performance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Sécurité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Scalabilité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Coût</w:t>
            </w:r>
          </w:p>
        </w:tc>
      </w:tr>
      <w:tr>
        <w:tc>
          <w:tcPr>
            <w:tcW w:w="1568" w:type="dxa"/>
          </w:tcPr>
          <w:p>
            <w:r>
              <w:rPr>
                <w:sz w:val="16"/>
              </w:rPr>
              <w:t xml:space="preserve">VPC + Sous-réseaux Multi-AZ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2 AZs distinctes — panne matérielle d'une AZ sans interruption de service.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Segmentation réduit les domaines de diffusion, latence inter-AZ &lt; 1 ms.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3 tiers isolés : public (ALB/NAT), privé applicatif, isolé (DB).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Adressage /24 = 251 adresses utiles par subnet, extensible facilement.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Service natif AWS 100% GRATUIT.</w:t>
            </w:r>
          </w:p>
        </w:tc>
      </w:tr>
      <w:tr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Application Load Balancer (ALB)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Répartit le trafic sur les 2 AZs, évince les cibles défaillantes en &lt; 30s.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Routage HTTP niveau 7 optimisé, décharge SSL.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Point d'entrée unique public, masque les IPs internes EC2.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Capacité interne auto-ajustée selon le trafic entrant.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~0,0225 $/h + LCU, détruit après chaque séance.</w:t>
            </w:r>
          </w:p>
        </w:tc>
      </w:tr>
      <w:tr>
        <w:tc>
          <w:tcPr>
            <w:tcW w:w="1568" w:type="dxa"/>
          </w:tcPr>
          <w:p>
            <w:r>
              <w:rPr>
                <w:sz w:val="16"/>
              </w:rPr>
              <w:t xml:space="preserve">Auto Scaling Group (ASG)</w:t>
              <w:br/>
              <w:t xml:space="preserve">Min 1 / Desired 2 / Max 4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Remplace toute instance défaillante en &lt; 5 min, réparties sur 2 AZs.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Charge équilibrée, latence maintenue &lt; 150 ms sous charge nominale.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Instances dans sous-réseaux PRIVÉS, sans IP publique directe.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Élasticité automatique de 1 à 4 instances t3.micro.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Service de gestion GRATUIT, on paie uniquement les EC2 actifs.</w:t>
            </w:r>
          </w:p>
        </w:tc>
      </w:tr>
      <w:tr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Instances EC2 t3.micro</w:t>
              <w:br/>
              <w:t xml:space="preserve">(Amazon Linux 2023)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Haute disponibilité assurée par le placement ASG multi-AZ.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2 vCPU, 1 Go RAM — Node.js ESM léger &lt; 120 Mo RAM utilisés.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Rôle IAM LabInstanceProfile sans clés statiques, EBS chiffré AES-256.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Remplacement et scale-out horizontal identique via Launch Template.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~0,0104 $/h par instance, optimal pour le budget Learner Lab.</w:t>
            </w:r>
          </w:p>
        </w:tc>
      </w:tr>
      <w:tr>
        <w:tc>
          <w:tcPr>
            <w:tcW w:w="1568" w:type="dxa"/>
          </w:tcPr>
          <w:p>
            <w:r>
              <w:rPr>
                <w:sz w:val="16"/>
              </w:rPr>
              <w:t xml:space="preserve">Instance NAT EC2 t3.micro</w:t>
              <w:br/>
              <w:t xml:space="preserve">(iptables MASQUERADE)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Suffisante pour la charge atelier, S3 déchargé sur VPC Endpoint.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Débit supérieur aux besoins : mises à jour packages + appels API.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nat-sg : accepte uniquement les paquets des subnets privés applicatifs.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Suffisante pour le périmètre L1-L3 du projet.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0,0104 $/h vs 0,045 $/h NAT Gateway managé → ÉCONOMIE 75%.</w:t>
            </w:r>
          </w:p>
        </w:tc>
      </w:tr>
      <w:tr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VPC Gateway Endpoint S3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Haute disponibilité native managée AWS, indépendante de la NAT.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Bande passante backbone AWS interne optimale pour cinetrekker.tar.gz.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Trafic S3 reste sur le réseau privé AWS, jamais sur Internet.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Illimitée et transparente gérée par AWS.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sz w:val="16"/>
              </w:rPr>
              <w:t xml:space="preserve">100% GRATUIT, aucun frais de traitement de données.</w:t>
            </w:r>
          </w:p>
        </w:tc>
      </w:tr>
      <w:tr>
        <w:tc>
          <w:tcPr>
            <w:tcW w:w="1568" w:type="dxa"/>
          </w:tcPr>
          <w:p>
            <w:r>
              <w:rPr>
                <w:sz w:val="16"/>
              </w:rPr>
              <w:t xml:space="preserve">Bucket Amazon S3</w:t>
              <w:br/>
              <w:t xml:space="preserve">(SSE-S3 chiffré)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Durabilité 99,999999999% (11 neuf) sur les artefacts.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Téléchargement parallèle au boot via S3 Gateway Endpoint.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BlockPublicAccess activé, chiffrement SSE-S3 AES-256 par défaut.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Capacité illimitée sans provisionnement.</w:t>
            </w:r>
          </w:p>
        </w:tc>
        <w:tc>
          <w:tcPr>
            <w:tcW w:w="1568" w:type="dxa"/>
          </w:tcPr>
          <w:p>
            <w:r>
              <w:rPr>
                <w:sz w:val="16"/>
              </w:rPr>
              <w:t xml:space="preserve">&lt; 0,01 $/mois pour ~50 Mo d'artefacts.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4. Estimation Financière Détaillée</w:t>
      </w:r>
    </w:p>
    <w:p>
      <w:pPr>
        <w:spacing w:after="80"/>
      </w:pPr>
      <w:r>
        <w:rPr>
          <w:b w:val="0"/>
          <w:color w:val="555555"/>
          <w:sz w:val="22"/>
        </w:rPr>
        <w:t xml:space="preserve">Région : us-east-1 (Virginie du Nord) — Tarifs officiels AWS en vigueur.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Ressource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Paramètres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Qté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Coût/h (USD)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Total/h (USD)</w:t>
            </w:r>
          </w:p>
        </w:tc>
        <w:tc>
          <w:tcPr>
            <w:tcW w:w="1568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Coût/mois estimé</w:t>
            </w:r>
          </w:p>
        </w:tc>
      </w:tr>
      <w:tr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EC2 Applicatives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t3.micro Linux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2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0,0104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0,0208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15,18 $</w:t>
            </w:r>
          </w:p>
        </w:tc>
      </w:tr>
      <w:tr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EC2 NAT Instance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t3.micro Amazon Linux 2023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1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0,0104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0,0104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7,59 $</w:t>
            </w:r>
          </w:p>
        </w:tc>
      </w:tr>
      <w:tr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EBS App (20 Go gp3)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Volumes chiffrés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2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~0,00011/Go-h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0,0044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3,20 $</w:t>
            </w:r>
          </w:p>
        </w:tc>
      </w:tr>
      <w:tr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EBS NAT (8 Go gp3)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Volume chiffré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1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~0,00011/Go-h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0,0009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0,64 $</w:t>
            </w:r>
          </w:p>
        </w:tc>
      </w:tr>
      <w:tr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Application LB (ALB)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1 ALB + 1 LCU nominal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1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0,0225 + LCU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~0,0240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17,52 $</w:t>
            </w:r>
          </w:p>
        </w:tc>
      </w:tr>
      <w:tr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S3 Bucket (~50 Mo)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Artefacts cinetrekker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1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négligeable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&lt; 0,0001</w:t>
            </w:r>
          </w:p>
        </w:tc>
        <w:tc>
          <w:tcPr>
            <w:tcW w:w="1568" w:type="dxa"/>
            <w:shd w:val="clear" w:color="auto" w:fill="EAF0FB"/>
          </w:tcPr>
          <w:p>
            <w:r>
              <w:rPr>
                <w:b w:val="0"/>
                <w:sz w:val="18"/>
              </w:rPr>
              <w:t xml:space="preserve">&lt; 0,01 $</w:t>
            </w:r>
          </w:p>
        </w:tc>
      </w:tr>
      <w:tr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VPC Gateway S3 VPCE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Passerelle interne AWS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1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0,0000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0,0000</w:t>
            </w:r>
          </w:p>
        </w:tc>
        <w:tc>
          <w:tcPr>
            <w:tcW w:w="1568" w:type="dxa"/>
          </w:tcPr>
          <w:p>
            <w:r>
              <w:rPr>
                <w:b w:val="0"/>
                <w:sz w:val="18"/>
              </w:rPr>
              <w:t xml:space="preserve">0,00 $</w:t>
            </w:r>
          </w:p>
        </w:tc>
      </w:tr>
      <w:tr>
        <w:tc>
          <w:tcPr>
            <w:tcW w:w="1568" w:type="dxa"/>
            <w:shd w:val="clear" w:color="auto" w:fill="D6E4F0"/>
          </w:tcPr>
          <w:p>
            <w:r>
              <w:rPr>
                <w:b/>
                <w:sz w:val="18"/>
              </w:rPr>
              <w:t xml:space="preserve">TOTAL GÉNÉRAL</w:t>
            </w:r>
          </w:p>
        </w:tc>
        <w:tc>
          <w:tcPr>
            <w:tcW w:w="1568" w:type="dxa"/>
            <w:shd w:val="clear" w:color="auto" w:fill="D6E4F0"/>
          </w:tcPr>
          <w:p>
            <w:r>
              <w:rPr>
                <w:b/>
                <w:sz w:val="18"/>
              </w:rPr>
              <w:t xml:space="preserve">—</w:t>
            </w:r>
          </w:p>
        </w:tc>
        <w:tc>
          <w:tcPr>
            <w:tcW w:w="1568" w:type="dxa"/>
            <w:shd w:val="clear" w:color="auto" w:fill="D6E4F0"/>
          </w:tcPr>
          <w:p>
            <w:r>
              <w:rPr>
                <w:b/>
                <w:sz w:val="18"/>
              </w:rPr>
              <w:t xml:space="preserve">—</w:t>
            </w:r>
          </w:p>
        </w:tc>
        <w:tc>
          <w:tcPr>
            <w:tcW w:w="1568" w:type="dxa"/>
            <w:shd w:val="clear" w:color="auto" w:fill="D6E4F0"/>
          </w:tcPr>
          <w:p>
            <w:r>
              <w:rPr>
                <w:b/>
                <w:sz w:val="18"/>
              </w:rPr>
              <w:t xml:space="preserve">—</w:t>
            </w:r>
          </w:p>
        </w:tc>
        <w:tc>
          <w:tcPr>
            <w:tcW w:w="1568" w:type="dxa"/>
            <w:shd w:val="clear" w:color="auto" w:fill="D6E4F0"/>
          </w:tcPr>
          <w:p>
            <w:r>
              <w:rPr>
                <w:b/>
                <w:sz w:val="18"/>
              </w:rPr>
              <w:t xml:space="preserve">~0,0605 $</w:t>
            </w:r>
          </w:p>
        </w:tc>
        <w:tc>
          <w:tcPr>
            <w:tcW w:w="1568" w:type="dxa"/>
            <w:shd w:val="clear" w:color="auto" w:fill="D6E4F0"/>
          </w:tcPr>
          <w:p>
            <w:r>
              <w:rPr>
                <w:b/>
                <w:sz w:val="18"/>
              </w:rPr>
              <w:t xml:space="preserve">~44,13 $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sz w:val="22"/>
        </w:rPr>
        <w:t xml:space="preserve">Impact financier clé :</w:t>
      </w:r>
    </w:p>
    <w:p>
      <w:pPr>
        <w:pStyle w:val="ListBullet"/>
        <w:spacing w:after="40"/>
        <w:ind w:left="0"/>
      </w:pPr>
      <w:r>
        <w:rPr>
          <w:sz w:val="22"/>
        </w:rPr>
        <w:t xml:space="preserve">Une séance de TP de 3 heures coûte ≈ 0,18 $ (&lt; 0,4% du crédit de 50 $).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Un oubli de destruction pendant 1 semaine (168h) ≈ 13,81 $ (≈ 27-35% du budget).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Exécuter LANCER_DESTROY_AWS.bat en fin de chaque séance est OBLIGATOIRE.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04E9A"/>
          <w:sz w:val="32"/>
        </w:rPr>
        <w:t xml:space="preserve">LIVRABLE 3 — Infrastructure as Code &amp; Démonstration Live</w:t>
      </w: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1. Organisation du Code Terraform</w:t>
      </w:r>
    </w:p>
    <w:p>
      <w:pPr>
        <w:pStyle w:val="ListBullet"/>
        <w:spacing w:after="40"/>
        <w:ind w:left="0"/>
      </w:pPr>
      <w:r>
        <w:rPr>
          <w:sz w:val="22"/>
        </w:rPr>
        <w:t xml:space="preserve">infra/main.tf                     — Orchestrateur des 4 modules</w:t>
      </w:r>
    </w:p>
    <w:p>
      <w:pPr>
        <w:pStyle w:val="ListBullet"/>
        <w:spacing w:after="40"/>
        <w:ind w:left="0"/>
      </w:pPr>
      <w:r>
        <w:rPr>
          <w:sz w:val="22"/>
        </w:rPr>
        <w:t xml:space="preserve">infra/modules/reseau/main.tf       — VPC, 6 subnets multi-AZ, NAT, S3 VPCE, tables de routage</w:t>
      </w:r>
    </w:p>
    <w:p>
      <w:pPr>
        <w:pStyle w:val="ListBullet"/>
        <w:spacing w:after="40"/>
        <w:ind w:left="0"/>
      </w:pPr>
      <w:r>
        <w:rPr>
          <w:sz w:val="22"/>
        </w:rPr>
        <w:t xml:space="preserve">infra/modules/securite/main.tf     — Security Groups chaînés (alb-sg, app-sg, nat-sg)</w:t>
      </w:r>
    </w:p>
    <w:p>
      <w:pPr>
        <w:pStyle w:val="ListBullet"/>
        <w:spacing w:after="40"/>
        <w:ind w:left="0"/>
      </w:pPr>
      <w:r>
        <w:rPr>
          <w:sz w:val="22"/>
        </w:rPr>
        <w:t xml:space="preserve">infra/modules/stockage/main.tf     — Bucket S3 privé chiffré SSE-S3</w:t>
      </w:r>
    </w:p>
    <w:p>
      <w:pPr>
        <w:pStyle w:val="ListBullet"/>
        <w:spacing w:after="40"/>
        <w:ind w:left="0"/>
      </w:pPr>
      <w:r>
        <w:rPr>
          <w:sz w:val="22"/>
        </w:rPr>
        <w:t xml:space="preserve">infra/modules/calcul/main.tf       — ALB, Target Group /health, Launch Template, ASG</w:t>
      </w: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2. Ressources Créées par Terraform (Périmètre L1-L3)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>
        <w:tc>
          <w:tcPr>
            <w:tcW w:w="3135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Ressource Terraform</w:t>
            </w:r>
          </w:p>
        </w:tc>
        <w:tc>
          <w:tcPr>
            <w:tcW w:w="3135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Nom AWS créé</w:t>
            </w:r>
          </w:p>
        </w:tc>
        <w:tc>
          <w:tcPr>
            <w:tcW w:w="3135" w:type="dxa"/>
            <w:shd w:val="clear" w:color="auto" w:fill="004E9A"/>
          </w:tcPr>
          <w:p>
            <w:r>
              <w:rPr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W w:w="3135" w:type="dxa"/>
          </w:tcPr>
          <w:p>
            <w:r>
              <w:rPr>
                <w:sz w:val="18"/>
              </w:rPr>
              <w:t xml:space="preserve">aws_vpc</w:t>
            </w:r>
          </w:p>
        </w:tc>
        <w:tc>
          <w:tcPr>
            <w:tcW w:w="3135" w:type="dxa"/>
          </w:tcPr>
          <w:p>
            <w:r>
              <w:rPr>
                <w:sz w:val="18"/>
              </w:rPr>
              <w:t xml:space="preserve">cinetrekker-dev-vpc</w:t>
            </w:r>
          </w:p>
        </w:tc>
        <w:tc>
          <w:tcPr>
            <w:tcW w:w="3135" w:type="dxa"/>
          </w:tcPr>
          <w:p>
            <w:r>
              <w:rPr>
                <w:sz w:val="18"/>
              </w:rPr>
              <w:t xml:space="preserve">VPC 10.0.0.0/16 avec DNS activé</w:t>
            </w:r>
          </w:p>
        </w:tc>
      </w:tr>
      <w:tr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aws_subnet (x6)</w:t>
            </w:r>
          </w:p>
        </w:tc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cinetrekker-dev-*-subnet-*</w:t>
            </w:r>
          </w:p>
        </w:tc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2 public, 2 private-app, 2 private-db sur 2 AZs</w:t>
            </w:r>
          </w:p>
        </w:tc>
      </w:tr>
      <w:tr>
        <w:tc>
          <w:tcPr>
            <w:tcW w:w="3135" w:type="dxa"/>
          </w:tcPr>
          <w:p>
            <w:r>
              <w:rPr>
                <w:sz w:val="18"/>
              </w:rPr>
              <w:t xml:space="preserve">aws_internet_gateway</w:t>
            </w:r>
          </w:p>
        </w:tc>
        <w:tc>
          <w:tcPr>
            <w:tcW w:w="3135" w:type="dxa"/>
          </w:tcPr>
          <w:p>
            <w:r>
              <w:rPr>
                <w:sz w:val="18"/>
              </w:rPr>
              <w:t xml:space="preserve">cinetrekker-dev-igw</w:t>
            </w:r>
          </w:p>
        </w:tc>
        <w:tc>
          <w:tcPr>
            <w:tcW w:w="3135" w:type="dxa"/>
          </w:tcPr>
          <w:p>
            <w:r>
              <w:rPr>
                <w:sz w:val="18"/>
              </w:rPr>
              <w:t xml:space="preserve">Passerelle Internet pour les subnets publics</w:t>
            </w:r>
          </w:p>
        </w:tc>
      </w:tr>
      <w:tr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aws_instance (NAT)</w:t>
            </w:r>
          </w:p>
        </w:tc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cinetrekker-dev-nat-instance</w:t>
            </w:r>
          </w:p>
        </w:tc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t3.micro + iptables MASQUERADE en subnet public 1a</w:t>
            </w:r>
          </w:p>
        </w:tc>
      </w:tr>
      <w:tr>
        <w:tc>
          <w:tcPr>
            <w:tcW w:w="3135" w:type="dxa"/>
          </w:tcPr>
          <w:p>
            <w:r>
              <w:rPr>
                <w:sz w:val="18"/>
              </w:rPr>
              <w:t xml:space="preserve">aws_security_group x3</w:t>
            </w:r>
          </w:p>
        </w:tc>
        <w:tc>
          <w:tcPr>
            <w:tcW w:w="3135" w:type="dxa"/>
          </w:tcPr>
          <w:p>
            <w:r>
              <w:rPr>
                <w:sz w:val="18"/>
              </w:rPr>
              <w:t xml:space="preserve">alb-sg / app-sg / nat-sg</w:t>
            </w:r>
          </w:p>
        </w:tc>
        <w:tc>
          <w:tcPr>
            <w:tcW w:w="3135" w:type="dxa"/>
          </w:tcPr>
          <w:p>
            <w:r>
              <w:rPr>
                <w:sz w:val="18"/>
              </w:rPr>
              <w:t xml:space="preserve">Chaînage strict, zéro port SSH exposé</w:t>
            </w:r>
          </w:p>
        </w:tc>
      </w:tr>
      <w:tr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aws_s3_bucket</w:t>
            </w:r>
          </w:p>
        </w:tc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cinetrekker-dev-artifacts-ID</w:t>
            </w:r>
          </w:p>
        </w:tc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Artefact app chiffré SSE-S3</w:t>
            </w:r>
          </w:p>
        </w:tc>
      </w:tr>
      <w:tr>
        <w:tc>
          <w:tcPr>
            <w:tcW w:w="3135" w:type="dxa"/>
          </w:tcPr>
          <w:p>
            <w:r>
              <w:rPr>
                <w:sz w:val="18"/>
              </w:rPr>
              <w:t xml:space="preserve">aws_lb (ALB)</w:t>
            </w:r>
          </w:p>
        </w:tc>
        <w:tc>
          <w:tcPr>
            <w:tcW w:w="3135" w:type="dxa"/>
          </w:tcPr>
          <w:p>
            <w:r>
              <w:rPr>
                <w:sz w:val="18"/>
              </w:rPr>
              <w:t xml:space="preserve">cinetrekker-dev-alb</w:t>
            </w:r>
          </w:p>
        </w:tc>
        <w:tc>
          <w:tcPr>
            <w:tcW w:w="3135" w:type="dxa"/>
          </w:tcPr>
          <w:p>
            <w:r>
              <w:rPr>
                <w:sz w:val="18"/>
              </w:rPr>
              <w:t xml:space="preserve">Load Balancer public port 80</w:t>
            </w:r>
          </w:p>
        </w:tc>
      </w:tr>
      <w:tr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aws_autoscaling_group</w:t>
            </w:r>
          </w:p>
        </w:tc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cinetrekker-dev-asg</w:t>
            </w:r>
          </w:p>
        </w:tc>
        <w:tc>
          <w:tcPr>
            <w:tcW w:w="3135" w:type="dxa"/>
            <w:shd w:val="clear" w:color="auto" w:fill="EAF0FB"/>
          </w:tcPr>
          <w:p>
            <w:r>
              <w:rPr>
                <w:sz w:val="18"/>
              </w:rPr>
              <w:t xml:space="preserve">ASG Min1 / Desired2 / Max4 multi-AZ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3. Solution d'Accès Sortant : Instance NAT vs NAT Gateway</w:t>
      </w:r>
    </w:p>
    <w:p>
      <w:pPr>
        <w:spacing w:after="80"/>
      </w:pPr>
      <w:r>
        <w:rPr>
          <w:b/>
          <w:sz w:val="22"/>
        </w:rPr>
        <w:t xml:space="preserve">Choix retenu : Instance NAT EC2 t3.micro configurée avec iptables MASQUERADE (ADR-01).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Coût : 0,0104 $/h vs 0,045 $/h pour un NAT Gateway managé → économie de 75%.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Suffisant pour les besoins du projet : téléchargement des packages Linux, appels API TMDB.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Le trafic vers S3 n'emprunte PAS la NAT : il utilise le VPC Gateway Endpoint gratuit.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Risque SPF (Single Point of Failure) sur la NAT, acceptable dans le périmètre académique L1-L3.</w:t>
      </w: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4. Script de Destruction (script de fin de séance)</w:t>
      </w:r>
    </w:p>
    <w:p>
      <w:pPr>
        <w:spacing w:after="80"/>
      </w:pPr>
      <w:r>
        <w:rPr>
          <w:b/>
          <w:sz w:val="22"/>
        </w:rPr>
        <w:t xml:space="preserve">Lancer : double-clic sur LANCER_DESTROY_AWS.bat dans le dossier racine.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Étape 1 : Vérification que les identifiants AWS sont valides (session Vocareum active).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Étape 2 : cd infra/envs/dev puis terraform destroy -auto-approve</w:t>
      </w:r>
    </w:p>
    <w:p>
      <w:pPr>
        <w:pStyle w:val="ListBullet"/>
        <w:spacing w:after="40"/>
        <w:ind w:left="0"/>
      </w:pPr>
      <w:r>
        <w:rPr>
          <w:sz w:val="22"/>
        </w:rPr>
        <w:t xml:space="preserve">Résultat attendu : Destroy complete! Resources: N destroyed.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Durée mesurée : &lt; 3 minutes pour la destruction complète.</w:t>
      </w:r>
    </w:p>
    <w:p>
      <w:pPr>
        <w:pStyle w:val="ListBullet"/>
        <w:spacing w:after="40"/>
        <w:ind w:left="0"/>
      </w:pPr>
      <w:r>
        <w:rPr>
          <w:sz w:val="22"/>
        </w:rPr>
        <w:t xml:space="preserve">IMPORTANT : Terminer manuellement toute instance créée hors Terraform (ex: instances nommées 'Mohamed').</w:t>
      </w:r>
    </w:p>
    <w:p>
      <w:pPr>
        <w:pStyle w:val="Heading2"/>
        <w:spacing w:before="240" w:after="80"/>
      </w:pPr>
      <w:r>
        <w:rPr>
          <w:color w:val="004E9A"/>
          <w:sz w:val="26"/>
        </w:rPr>
        <w:t xml:space="preserve">5. Déroulé de la Démonstration Live (15 minutes)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>
        <w:tc>
          <w:tcPr>
            <w:tcW w:w="4703" w:type="dxa"/>
            <w:shd w:val="clear" w:color="auto" w:fill="004E9A"/>
          </w:tcPr>
          <w:p>
            <w:r>
              <w:rPr>
                <w:b/>
                <w:color w:val="FFFFFF"/>
              </w:rPr>
              <w:t xml:space="preserve">Durée</w:t>
            </w:r>
          </w:p>
        </w:tc>
        <w:tc>
          <w:tcPr>
            <w:tcW w:w="4703" w:type="dxa"/>
            <w:shd w:val="clear" w:color="auto" w:fill="004E9A"/>
          </w:tcPr>
          <w:p>
            <w:r>
              <w:rPr>
                <w:b/>
                <w:color w:val="FFFFFF"/>
              </w:rPr>
              <w:t xml:space="preserve">Action</w:t>
            </w:r>
          </w:p>
        </w:tc>
      </w:tr>
      <w:tr>
        <w:tc>
          <w:tcPr>
            <w:tcW w:w="4703" w:type="dxa"/>
          </w:tcPr>
          <w:p>
            <w:r>
              <w:rPr>
                <w:sz w:val="18"/>
              </w:rPr>
              <w:t xml:space="preserve">0:00 - 2:00</w:t>
            </w:r>
          </w:p>
        </w:tc>
        <w:tc>
          <w:tcPr>
            <w:tcW w:w="4703" w:type="dxa"/>
          </w:tcPr>
          <w:p>
            <w:r>
              <w:rPr>
                <w:sz w:val="18"/>
              </w:rPr>
              <w:t xml:space="preserve">Introduction équipe + ouverture console AWS (L1 : App, membres, dépôt Git)</w:t>
            </w:r>
          </w:p>
        </w:tc>
      </w:tr>
      <w:tr>
        <w:tc>
          <w:tcPr>
            <w:tcW w:w="4703" w:type="dxa"/>
            <w:shd w:val="clear" w:color="auto" w:fill="EAF0FB"/>
          </w:tcPr>
          <w:p>
            <w:r>
              <w:rPr>
                <w:sz w:val="18"/>
              </w:rPr>
              <w:t xml:space="preserve">2:00 - 4:00</w:t>
            </w:r>
          </w:p>
        </w:tc>
        <w:tc>
          <w:tcPr>
            <w:tcW w:w="4703" w:type="dxa"/>
            <w:shd w:val="clear" w:color="auto" w:fill="EAF0FB"/>
          </w:tcPr>
          <w:p>
            <w:r>
              <w:rPr>
                <w:sz w:val="18"/>
              </w:rPr>
              <w:t xml:space="preserve">Présentation du schéma d'architecture et justification 5 axes (L2)</w:t>
            </w:r>
          </w:p>
        </w:tc>
      </w:tr>
      <w:tr>
        <w:tc>
          <w:tcPr>
            <w:tcW w:w="4703" w:type="dxa"/>
          </w:tcPr>
          <w:p>
            <w:r>
              <w:rPr>
                <w:sz w:val="18"/>
              </w:rPr>
              <w:t xml:space="preserve">4:00 - 5:00</w:t>
            </w:r>
          </w:p>
        </w:tc>
        <w:tc>
          <w:tcPr>
            <w:tcW w:w="4703" w:type="dxa"/>
          </w:tcPr>
          <w:p>
            <w:r>
              <w:rPr>
                <w:sz w:val="18"/>
              </w:rPr>
              <w:t xml:space="preserve">Présentation du code Terraform dans VS Code / terminal (L3 : IaC)</w:t>
            </w:r>
          </w:p>
        </w:tc>
      </w:tr>
      <w:tr>
        <w:tc>
          <w:tcPr>
            <w:tcW w:w="4703" w:type="dxa"/>
            <w:shd w:val="clear" w:color="auto" w:fill="EAF0FB"/>
          </w:tcPr>
          <w:p>
            <w:r>
              <w:rPr>
                <w:sz w:val="18"/>
              </w:rPr>
              <w:t xml:space="preserve">5:00 - 8:30</w:t>
            </w:r>
          </w:p>
        </w:tc>
        <w:tc>
          <w:tcPr>
            <w:tcW w:w="4703" w:type="dxa"/>
            <w:shd w:val="clear" w:color="auto" w:fill="EAF0FB"/>
          </w:tcPr>
          <w:p>
            <w:r>
              <w:rPr>
                <w:sz w:val="18"/>
              </w:rPr>
              <w:t xml:space="preserve">Exécution live de LANCER_DEPLOY_AWS.bat — attente création infrastructure</w:t>
            </w:r>
          </w:p>
        </w:tc>
      </w:tr>
      <w:tr>
        <w:tc>
          <w:tcPr>
            <w:tcW w:w="4703" w:type="dxa"/>
          </w:tcPr>
          <w:p>
            <w:r>
              <w:rPr>
                <w:sz w:val="18"/>
              </w:rPr>
              <w:t xml:space="preserve">8:30 - 10:30</w:t>
            </w:r>
          </w:p>
        </w:tc>
        <w:tc>
          <w:tcPr>
            <w:tcW w:w="4703" w:type="dxa"/>
          </w:tcPr>
          <w:p>
            <w:r>
              <w:rPr>
                <w:sz w:val="18"/>
              </w:rPr>
              <w:t xml:space="preserve">Vérification console EC2 : 3 instances taggées cinetrekker-dev-*</w:t>
            </w:r>
          </w:p>
        </w:tc>
      </w:tr>
      <w:tr>
        <w:tc>
          <w:tcPr>
            <w:tcW w:w="4703" w:type="dxa"/>
            <w:shd w:val="clear" w:color="auto" w:fill="EAF0FB"/>
          </w:tcPr>
          <w:p>
            <w:r>
              <w:rPr>
                <w:sz w:val="18"/>
              </w:rPr>
              <w:t xml:space="preserve">10:30 - 12:00</w:t>
            </w:r>
          </w:p>
        </w:tc>
        <w:tc>
          <w:tcPr>
            <w:tcW w:w="4703" w:type="dxa"/>
            <w:shd w:val="clear" w:color="auto" w:fill="EAF0FB"/>
          </w:tcPr>
          <w:p>
            <w:r>
              <w:rPr>
                <w:sz w:val="18"/>
              </w:rPr>
              <w:t xml:space="preserve">Test application via URL ALB : navigation CineTrekker + /health</w:t>
            </w:r>
          </w:p>
        </w:tc>
      </w:tr>
      <w:tr>
        <w:tc>
          <w:tcPr>
            <w:tcW w:w="4703" w:type="dxa"/>
          </w:tcPr>
          <w:p>
            <w:r>
              <w:rPr>
                <w:sz w:val="18"/>
              </w:rPr>
              <w:t xml:space="preserve">12:00 - 13:00</w:t>
            </w:r>
          </w:p>
        </w:tc>
        <w:tc>
          <w:tcPr>
            <w:tcW w:w="4703" w:type="dxa"/>
          </w:tcPr>
          <w:p>
            <w:r>
              <w:rPr>
                <w:sz w:val="18"/>
              </w:rPr>
              <w:t xml:space="preserve">Exécution live LANCER_DESTROY_AWS.bat — destruction infrastructure</w:t>
            </w:r>
          </w:p>
        </w:tc>
      </w:tr>
      <w:tr>
        <w:tc>
          <w:tcPr>
            <w:tcW w:w="4703" w:type="dxa"/>
            <w:shd w:val="clear" w:color="auto" w:fill="EAF0FB"/>
          </w:tcPr>
          <w:p>
            <w:r>
              <w:rPr>
                <w:sz w:val="18"/>
              </w:rPr>
              <w:t xml:space="preserve">13:00 - 15:00</w:t>
            </w:r>
          </w:p>
        </w:tc>
        <w:tc>
          <w:tcPr>
            <w:tcW w:w="4703" w:type="dxa"/>
            <w:shd w:val="clear" w:color="auto" w:fill="EAF0FB"/>
          </w:tcPr>
          <w:p>
            <w:r>
              <w:rPr>
                <w:sz w:val="18"/>
              </w:rPr>
              <w:t xml:space="preserve">Questions du professeur</w:t>
            </w:r>
          </w:p>
        </w:tc>
      </w:tr>
    </w:tbl>
    <w:p>
      <w:pPr>
        <w:spacing w:after="40"/>
      </w:pPr>
    </w:p>
    <w:p/>
    <w:p>
      <w:pPr>
        <w:spacing w:before="240"/>
        <w:rPr>
          <w:b/>
          <w:color w:val="CC0000"/>
          <w:sz w:val="20"/>
        </w:rPr>
      </w:pPr>
    </w:p>
    <w:sectPr>
      <w:type w:val="nextPage"/>
      <w:pgSz w:w="12240" w:h="15840"/>
      <w:pgMar w:top="1417" w:right="1417" w:bottom="1417" w:left="1417" w:header="720" w:footer="720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footnotePr>
    <w:numFmt w:val="decimal"/>
  </w:footnotePr>
  <w:endnotePr>
    <w:numFmt w:val="lowerRoman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Cambria" w:hAnsi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hAnsi="Calibri"/>
      <w:b/>
      <w:bCs/>
      <w:color w:val="3760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ascii="Calibri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hAnsi="Calibri"/>
      <w:color w:val="2440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hAnsi="Calibri"/>
      <w:i/>
      <w:iCs/>
      <w:color w:val="2440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="Calibri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="Calibri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="Calibri" w:hAnsi="Calibri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="Calibri" w:hAnsi="Calibri"/>
      <w:b/>
      <w:bCs/>
      <w:color w:val="376092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="Calibri" w:hAnsi="Calibri"/>
      <w:b/>
      <w:bCs/>
      <w:color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="Calibri" w:hAnsi="Calibri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hAnsi="Calibri"/>
      <w:color w:val="17375E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Pr>
      <w:rFonts w:ascii="Calibri" w:hAnsi="Calibri"/>
      <w:color w:val="17375E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hAnsi="Calibri"/>
      <w:i/>
      <w:iCs/>
      <w:color w:val="4F81BD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Pr>
      <w:rFonts w:ascii="Calibri" w:hAnsi="Calibri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ilvl w:val="0"/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ilvl w:val="0"/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ilvl w:val="0"/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ilvl w:val="0"/>
        <w:numId w:val="5"/>
      </w:numPr>
      <w:contextualSpacing/>
    </w:pPr>
  </w:style>
  <w:style w:type="paragraph" w:styleId="ListNumber2">
    <w:name w:val="List Number 2"/>
    <w:basedOn w:val="Normal"/>
    <w:uiPriority w:val="99"/>
    <w:pPr>
      <w:numPr>
        <w:ilvl w:val="0"/>
        <w:numId w:val="6"/>
      </w:numPr>
      <w:contextualSpacing/>
    </w:pPr>
  </w:style>
  <w:style w:type="paragraph" w:styleId="ListNumber3">
    <w:name w:val="List Number 3"/>
    <w:basedOn w:val="Normal"/>
    <w:uiPriority w:val="99"/>
    <w:pPr>
      <w:numPr>
        <w:ilvl w:val="0"/>
        <w:numId w:val="7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unhideWhenUsed/>
    <w:rPr>
      <w:rFonts w:ascii="Calibri" w:hAnsi="Calibri"/>
      <w:b/>
      <w:bCs/>
      <w:i/>
      <w:iCs/>
      <w:color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unhideWhenUsed/>
    <w:rPr>
      <w:rFonts w:ascii="Calibri" w:hAnsi="Calibri"/>
      <w:color w:val="244061"/>
    </w:rPr>
  </w:style>
  <w:style w:type="character" w:styleId="Heading6Char" w:customStyle="1">
    <w:name w:val="Heading 6 Char"/>
    <w:basedOn w:val="DefaultParagraphFont"/>
    <w:link w:val="Heading6"/>
    <w:uiPriority w:val="9"/>
    <w:semiHidden/>
    <w:unhideWhenUsed/>
    <w:rPr>
      <w:rFonts w:ascii="Calibri" w:hAnsi="Calibri"/>
      <w:i/>
      <w:iCs/>
      <w:color w:val="244061"/>
    </w:rPr>
  </w:style>
  <w:style w:type="character" w:styleId="Heading7Char" w:customStyle="1">
    <w:name w:val="Heading 7 Char"/>
    <w:basedOn w:val="DefaultParagraphFont"/>
    <w:link w:val="Heading7"/>
    <w:uiPriority w:val="9"/>
    <w:semiHidden/>
    <w:unhideWhenUsed/>
    <w:rPr>
      <w:rFonts w:ascii="Calibri" w:hAnsi="Calibri"/>
      <w:i/>
      <w:iCs/>
      <w:color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unhideWhenUsed/>
    <w:rPr>
      <w:rFonts w:ascii="Calibri" w:hAnsi="Calibri"/>
      <w:color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unhideWhenUsed/>
    <w:rPr>
      <w:rFonts w:ascii="Calibri" w:hAnsi="Calibr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000000"/>
          <w:left w:val="nil" w:sz="4" w:space="0" w:color="auto"/>
          <w:bottom w:val="single" w:sz="8" w:space="0" w:color="000000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000000"/>
          <w:left w:val="nil" w:sz="4" w:space="0" w:color="auto"/>
          <w:bottom w:val="single" w:sz="8" w:space="0" w:color="000000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76092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4E0EF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4E0E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4F81BD"/>
          <w:left w:val="nil" w:sz="4" w:space="0" w:color="auto"/>
          <w:bottom w:val="single" w:sz="8" w:space="0" w:color="4F81BD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4F81BD"/>
          <w:left w:val="nil" w:sz="4" w:space="0" w:color="auto"/>
          <w:bottom w:val="single" w:sz="8" w:space="0" w:color="4F81BD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53735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FD4D3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FD4D3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C0504D"/>
          <w:left w:val="nil" w:sz="4" w:space="0" w:color="auto"/>
          <w:bottom w:val="single" w:sz="8" w:space="0" w:color="C0504D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C0504D"/>
          <w:left w:val="nil" w:sz="4" w:space="0" w:color="auto"/>
          <w:bottom w:val="single" w:sz="8" w:space="0" w:color="C0504D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3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6EED6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6EED6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9BBB59"/>
          <w:left w:val="nil" w:sz="4" w:space="0" w:color="auto"/>
          <w:bottom w:val="single" w:sz="8" w:space="0" w:color="9BBB59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9BBB59"/>
          <w:left w:val="nil" w:sz="4" w:space="0" w:color="auto"/>
          <w:bottom w:val="single" w:sz="8" w:space="0" w:color="9BBB59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604A7B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0D9E8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0D9E8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8064A2"/>
          <w:left w:val="nil" w:sz="4" w:space="0" w:color="auto"/>
          <w:bottom w:val="single" w:sz="8" w:space="0" w:color="8064A2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8064A2"/>
          <w:left w:val="nil" w:sz="4" w:space="0" w:color="auto"/>
          <w:bottom w:val="single" w:sz="8" w:space="0" w:color="8064A2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5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4BACC6"/>
          <w:left w:val="nil" w:sz="4" w:space="0" w:color="auto"/>
          <w:bottom w:val="single" w:sz="8" w:space="0" w:color="4BACC6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4BACC6"/>
          <w:left w:val="nil" w:sz="4" w:space="0" w:color="auto"/>
          <w:bottom w:val="single" w:sz="8" w:space="0" w:color="4BACC6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4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  <w:tcPr>
        <w:tcBorders>
          <w:top w:val="single" w:sz="8" w:space="0" w:color="F79646"/>
          <w:left w:val="nil" w:sz="4" w:space="0" w:color="auto"/>
          <w:bottom w:val="single" w:sz="8" w:space="0" w:color="F79646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lastRow">
      <w:rPr>
        <w:b/>
        <w:bCs/>
      </w:rPr>
      <w:tcPr>
        <w:tcBorders>
          <w:top w:val="single" w:sz="8" w:space="0" w:color="F79646"/>
          <w:left w:val="nil" w:sz="4" w:space="0" w:color="auto"/>
          <w:bottom w:val="single" w:sz="8" w:space="0" w:color="F79646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000000"/>
      </w:tcPr>
    </w:tblStylePr>
    <w:tblStylePr w:type="lastRow">
      <w:rPr>
        <w:b/>
        <w:bCs/>
      </w:rPr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4F81BD"/>
      </w:tcPr>
    </w:tblStylePr>
    <w:tblStylePr w:type="lastRow">
      <w:rPr>
        <w:b/>
        <w:bCs/>
      </w:rPr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C0504D"/>
      </w:tcPr>
    </w:tblStylePr>
    <w:tblStylePr w:type="lastRow">
      <w:rPr>
        <w:b/>
        <w:bCs/>
      </w:rPr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9BBB59"/>
      </w:tcPr>
    </w:tblStylePr>
    <w:tblStylePr w:type="lastRow">
      <w:rPr>
        <w:b/>
        <w:bCs/>
      </w:rPr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8064A2"/>
      </w:tcPr>
    </w:tblStylePr>
    <w:tblStylePr w:type="lastRow">
      <w:rPr>
        <w:b/>
        <w:bCs/>
      </w:rPr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4BACC6"/>
      </w:tcPr>
    </w:tblStylePr>
    <w:tblStylePr w:type="lastRow">
      <w:rPr>
        <w:b/>
        <w:bCs/>
      </w:rPr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shd w:val="clear" w:color="auto" w:fill="F79646"/>
      </w:tcPr>
    </w:tblStylePr>
    <w:tblStylePr w:type="lastRow">
      <w:rPr>
        <w:b/>
        <w:bCs/>
      </w:rPr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 w:sz="4" w:space="0" w:color="auto"/>
          <w:insideV w:val="single" w:sz="8" w:space="0" w:color="000000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 w:sz="4" w:space="0" w:color="auto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4E0EF"/>
      </w:tcPr>
    </w:tblStylePr>
    <w:tblStylePr w:type="band1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4E0EF"/>
      </w:tcPr>
    </w:tblStylePr>
    <w:tblStylePr w:type="band2Horz"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 w:sz="4" w:space="0" w:color="auto"/>
          <w:insideV w:val="single" w:sz="8" w:space="0" w:color="4F81BD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 w:sz="4" w:space="0" w:color="auto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4D3"/>
      </w:tcPr>
    </w:tblStylePr>
    <w:tblStylePr w:type="band1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4D3"/>
      </w:tcPr>
    </w:tblStylePr>
    <w:tblStylePr w:type="band2Horz"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 w:sz="4" w:space="0" w:color="auto"/>
          <w:insideV w:val="single" w:sz="8" w:space="0" w:color="C0504D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 w:sz="4" w:space="0" w:color="auto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6"/>
      </w:tcPr>
    </w:tblStylePr>
    <w:tblStylePr w:type="band1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6"/>
      </w:tcPr>
    </w:tblStylePr>
    <w:tblStylePr w:type="band2Horz"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 w:sz="4" w:space="0" w:color="auto"/>
          <w:insideV w:val="single" w:sz="8" w:space="0" w:color="9BBB59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 w:sz="4" w:space="0" w:color="auto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E0D9E8"/>
      </w:tcPr>
    </w:tblStylePr>
    <w:tblStylePr w:type="band1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E0D9E8"/>
      </w:tcPr>
    </w:tblStylePr>
    <w:tblStylePr w:type="band2Horz"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 w:sz="4" w:space="0" w:color="auto"/>
          <w:insideV w:val="single" w:sz="8" w:space="0" w:color="8064A2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 w:sz="4" w:space="0" w:color="auto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3EAF1"/>
      </w:tcPr>
    </w:tblStylePr>
    <w:tblStylePr w:type="band1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3EAF1"/>
      </w:tcPr>
    </w:tblStylePr>
    <w:tblStylePr w:type="band2Horz"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 w:sz="4" w:space="0" w:color="auto"/>
          <w:insideV w:val="single" w:sz="8" w:space="0" w:color="4BACC6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 w:sz="4" w:space="0" w:color="auto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5D1"/>
      </w:tcPr>
    </w:tblStylePr>
    <w:tblStylePr w:type="band1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5D1"/>
      </w:tcPr>
    </w:tblStylePr>
    <w:tblStylePr w:type="band2Horz"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rPr>
        <w:rFonts w:ascii="Calibri" w:hAnsi="Calibri"/>
        <w:b/>
        <w:bCs/>
      </w:rPr>
    </w:tblStylePr>
    <w:tblStylePr w:type="lastCol">
      <w:rPr>
        <w:rFonts w:ascii="Calibri" w:hAnsi="Calibri"/>
        <w:b/>
        <w:bCs/>
      </w:rPr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Row">
      <w:rPr>
        <w:rFonts w:ascii="Calibri" w:hAnsi="Calibri"/>
        <w:b/>
        <w:bCs/>
      </w:rPr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 w:sz="4" w:space="0" w:color="auto"/>
          <w:insideV w:val="single" w:sz="8" w:space="0" w:color="F79646"/>
        </w:tcBorders>
      </w:tcPr>
    </w:tblStylePr>
    <w:tblStylePr w:type="lastRow">
      <w:rPr>
        <w:rFonts w:ascii="Calibri" w:hAnsi="Calibri"/>
        <w:b/>
        <w:bCs/>
      </w:rPr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 w:sz="4" w:space="0" w:color="auto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C0C0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rPr>
        <w:b/>
        <w:bCs/>
      </w:rPr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 w:sz="4" w:space="0" w:color="auto"/>
          <w:insideV w:val="nil" w:sz="4" w:space="0" w:color="auto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4E0EF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D4E0EF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 w:sz="4" w:space="0" w:color="auto"/>
          <w:insideV w:val="nil" w:sz="4" w:space="0" w:color="auto"/>
        </w:tcBorders>
        <w:shd w:val="clear" w:color="auto" w:fill="4F81BD"/>
      </w:tcPr>
    </w:tblStylePr>
    <w:tblStylePr w:type="lastRow">
      <w:rPr>
        <w:b/>
        <w:bCs/>
      </w:rPr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 w:sz="4" w:space="0" w:color="auto"/>
          <w:insideV w:val="nil" w:sz="4" w:space="0" w:color="auto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FD4D3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EFD4D3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 w:sz="4" w:space="0" w:color="auto"/>
          <w:insideV w:val="nil" w:sz="4" w:space="0" w:color="auto"/>
        </w:tcBorders>
        <w:shd w:val="clear" w:color="auto" w:fill="C0504D"/>
      </w:tcPr>
    </w:tblStylePr>
    <w:tblStylePr w:type="lastRow">
      <w:rPr>
        <w:b/>
        <w:bCs/>
      </w:rPr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 w:sz="4" w:space="0" w:color="auto"/>
          <w:insideV w:val="nil" w:sz="4" w:space="0" w:color="auto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6EED6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E6EED6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 w:sz="4" w:space="0" w:color="auto"/>
          <w:insideV w:val="nil" w:sz="4" w:space="0" w:color="auto"/>
        </w:tcBorders>
        <w:shd w:val="clear" w:color="auto" w:fill="9BBB59"/>
      </w:tcPr>
    </w:tblStylePr>
    <w:tblStylePr w:type="lastRow">
      <w:rPr>
        <w:b/>
        <w:bCs/>
      </w:rPr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 w:sz="4" w:space="0" w:color="auto"/>
          <w:insideV w:val="nil" w:sz="4" w:space="0" w:color="auto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0D9E8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E0D9E8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 w:sz="4" w:space="0" w:color="auto"/>
          <w:insideV w:val="nil" w:sz="4" w:space="0" w:color="auto"/>
        </w:tcBorders>
        <w:shd w:val="clear" w:color="auto" w:fill="8064A2"/>
      </w:tcPr>
    </w:tblStylePr>
    <w:tblStylePr w:type="lastRow">
      <w:rPr>
        <w:b/>
        <w:bCs/>
      </w:rPr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 w:sz="4" w:space="0" w:color="auto"/>
          <w:insideV w:val="nil" w:sz="4" w:space="0" w:color="auto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3EAF1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Row">
      <w:rPr>
        <w:b/>
        <w:bCs/>
      </w:rPr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 w:sz="4" w:space="0" w:color="auto"/>
          <w:insideV w:val="nil" w:sz="4" w:space="0" w:color="auto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DE5D1"/>
      </w:tcPr>
    </w:tblStylePr>
    <w:tblStylePr w:type="band1Horz">
      <w:tcPr>
        <w:tcBorders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2Horz">
      <w:tcPr>
        <w:tcBorders>
          <w:insideH w:val="nil" w:sz="4" w:space="0" w:color="auto"/>
          <w:insideV w:val="nil" w:sz="4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Row">
      <w:rPr>
        <w:b/>
        <w:bCs/>
      </w:rPr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 w:sz="4" w:space="0" w:color="auto"/>
          <w:insideV w:val="nil" w:sz="4" w:space="0" w:color="auto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F81BD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F81BD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504D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504D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504D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BBB59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BBB59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BBB59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8064A2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8064A2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8064A2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8D8D8"/>
      </w:tcPr>
    </w:tblStylePr>
    <w:tblStylePr w:type="band1Horz">
      <w:tcPr>
        <w:shd w:val="clear" w:color="auto" w:fill="D8D8D8"/>
      </w:tcPr>
    </w:tblStylePr>
    <w:tblStylePr w:type="firstCol">
      <w:rPr>
        <w:b/>
        <w:bCs/>
        <w:color w:val="FFFFFF"/>
      </w:rPr>
      <w:tcPr>
        <w:tcBorders>
          <w:top w:val="nil" w:sz="4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Col">
      <w:rPr>
        <w:b/>
        <w:bCs/>
        <w:color w:val="FFFFFF"/>
      </w:rPr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firstRow">
      <w:rPr>
        <w:b/>
        <w:bCs/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Row">
      <w:rPr>
        <w:color w:val="auto"/>
      </w:rPr>
      <w:tcPr>
        <w:tcBorders>
          <w:top w:val="double" w:sz="6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eCell"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  <w:tblStylePr w:type="nwCell">
      <w:rPr>
        <w:color w:val="FFFFFF"/>
      </w:rPr>
      <w:tcPr>
        <w:tcBorders>
          <w:top w:val="single" w:sz="18" w:space="0" w:color="auto"/>
          <w:left w:val="nil" w:sz="4" w:space="0" w:color="auto"/>
          <w:bottom w:val="single" w:sz="18" w:space="0" w:color="auto"/>
          <w:right w:val="nil" w:sz="4" w:space="0" w:color="auto"/>
          <w:insideH w:val="nil" w:sz="4" w:space="0" w:color="auto"/>
          <w:insideV w:val="nil" w:sz="4" w:space="0" w:color="auto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C0C0"/>
      </w:tcPr>
    </w:tblStylePr>
    <w:tblStylePr w:type="band1Horz">
      <w:tcPr>
        <w:shd w:val="clear" w:color="auto" w:fill="C0C0C0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000000"/>
          <w:bottom w:val="single" w:sz="8" w:space="0" w:color="000000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00000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000000"/>
          <w:bottom w:val="single" w:sz="8" w:space="0" w:color="000000"/>
        </w:tcBorders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4E0EF"/>
      </w:tcPr>
    </w:tblStylePr>
    <w:tblStylePr w:type="band1Horz">
      <w:tcPr>
        <w:shd w:val="clear" w:color="auto" w:fill="D4E0EF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F81BD"/>
          <w:bottom w:val="single" w:sz="8" w:space="0" w:color="4F81BD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4F81BD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F81BD"/>
          <w:bottom w:val="single" w:sz="8" w:space="0" w:color="4F81BD"/>
        </w:tcBorders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FD4D3"/>
      </w:tcPr>
    </w:tblStylePr>
    <w:tblStylePr w:type="band1Horz">
      <w:tcPr>
        <w:shd w:val="clear" w:color="auto" w:fill="EFD4D3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C0504D"/>
          <w:bottom w:val="single" w:sz="8" w:space="0" w:color="C0504D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C0504D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C0504D"/>
          <w:bottom w:val="single" w:sz="8" w:space="0" w:color="C0504D"/>
        </w:tcBorders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6EED6"/>
      </w:tcPr>
    </w:tblStylePr>
    <w:tblStylePr w:type="band1Horz">
      <w:tcPr>
        <w:shd w:val="clear" w:color="auto" w:fill="E6EED6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9BBB59"/>
          <w:bottom w:val="single" w:sz="8" w:space="0" w:color="9BBB59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9BBB59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9BBB59"/>
          <w:bottom w:val="single" w:sz="8" w:space="0" w:color="9BBB59"/>
        </w:tcBorders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0D9E8"/>
      </w:tcPr>
    </w:tblStylePr>
    <w:tblStylePr w:type="band1Horz">
      <w:tcPr>
        <w:shd w:val="clear" w:color="auto" w:fill="E0D9E8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8064A2"/>
          <w:bottom w:val="single" w:sz="8" w:space="0" w:color="8064A2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8064A2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8064A2"/>
          <w:bottom w:val="single" w:sz="8" w:space="0" w:color="8064A2"/>
        </w:tcBorders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3EAF1"/>
      </w:tcPr>
    </w:tblStylePr>
    <w:tblStylePr w:type="band1Horz">
      <w:tcPr>
        <w:shd w:val="clear" w:color="auto" w:fill="D3EAF1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BACC6"/>
          <w:bottom w:val="single" w:sz="8" w:space="0" w:color="4BACC6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4BACC6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BACC6"/>
          <w:bottom w:val="single" w:sz="8" w:space="0" w:color="4BACC6"/>
        </w:tcBorders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DE5D1"/>
      </w:tcPr>
    </w:tblStylePr>
    <w:tblStylePr w:type="band1Horz">
      <w:tcPr>
        <w:shd w:val="clear" w:color="auto" w:fill="FDE5D1"/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F79646"/>
          <w:bottom w:val="single" w:sz="8" w:space="0" w:color="F79646"/>
        </w:tcBorders>
      </w:tcPr>
    </w:tblStylePr>
    <w:tblStylePr w:type="firstRow">
      <w:rPr>
        <w:rFonts w:ascii="Calibri" w:hAnsi="Calibri"/>
      </w:rPr>
      <w:tcPr>
        <w:tcBorders>
          <w:top w:val="nil" w:sz="4" w:space="0" w:color="auto"/>
          <w:bottom w:val="single" w:sz="8" w:space="0" w:color="F79646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F79646"/>
          <w:bottom w:val="single" w:sz="8" w:space="0" w:color="F79646"/>
        </w:tcBorders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000000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000000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000000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4E0EF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D4E0EF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4F81BD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4F81BD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4F81B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4F81BD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FD4D3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EFD4D3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C0504D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C0504D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C0504D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6EED6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E6EED6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9BBB59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9BBB59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9BBB59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9BBB59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0D9E8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E0D9E8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8064A2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8064A2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8064A2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8064A2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4BACC6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4BACC6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4BACC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4BACC6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left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tcBorders>
          <w:top w:val="nil" w:sz="4" w:space="0" w:color="auto"/>
          <w:bottom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8" w:space="0" w:color="F79646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tcPr>
        <w:tcBorders>
          <w:top w:val="nil" w:sz="4" w:space="0" w:color="auto"/>
          <w:left w:val="single" w:sz="8" w:space="0" w:color="F79646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firstRow">
      <w:rPr>
        <w:sz w:val="24"/>
        <w:szCs w:val="24"/>
      </w:rPr>
      <w:tcPr>
        <w:tcBorders>
          <w:top w:val="nil" w:sz="4" w:space="0" w:color="auto"/>
          <w:left w:val="nil" w:sz="4" w:space="0" w:color="auto"/>
          <w:bottom w:val="single" w:sz="24" w:space="0" w:color="F7964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tcPr>
        <w:tcBorders>
          <w:top w:val="single" w:sz="8" w:space="0" w:color="F79646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  <w:tblStylePr w:type="swCell">
      <w:tcPr>
        <w:tcBorders>
          <w:top w:val="nil" w:sz="4" w:space="0" w:color="auto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shd w:val="clear" w:color="auto" w:fill="808080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404040"/>
        </w:tcBorders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7C0DE"/>
      </w:tcPr>
    </w:tblStylePr>
    <w:tblStylePr w:type="band1Horz">
      <w:tcPr>
        <w:shd w:val="clear" w:color="auto" w:fill="A7C0DE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BA0CD"/>
        </w:tcBorders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0A8A6"/>
      </w:tcPr>
    </w:tblStylePr>
    <w:tblStylePr w:type="band1Horz">
      <w:tcPr>
        <w:shd w:val="clear" w:color="auto" w:fill="E0A8A6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CF7B79"/>
        </w:tcBorders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DDDAC"/>
      </w:tcPr>
    </w:tblStylePr>
    <w:tblStylePr w:type="band1Horz">
      <w:tcPr>
        <w:shd w:val="clear" w:color="auto" w:fill="CDDDAC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B3CC82"/>
        </w:tcBorders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B2D1"/>
      </w:tcPr>
    </w:tblStylePr>
    <w:tblStylePr w:type="band1Horz">
      <w:tcPr>
        <w:shd w:val="clear" w:color="auto" w:fill="C0B2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9F8AB9"/>
        </w:tcBorders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shd w:val="clear" w:color="auto" w:fill="A5D6E3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8C0D4"/>
        </w:tcBorders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shd w:val="clear" w:color="auto" w:fill="FBCBA3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F9B074"/>
        </w:tcBorders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CCCCC"/>
      </w:tcPr>
    </w:tblStylePr>
    <w:tblStylePr w:type="firstRow">
      <w:rPr>
        <w:b/>
        <w:bCs/>
        <w:color w:val="000000"/>
      </w:rPr>
      <w:tcPr>
        <w:shd w:val="clear" w:color="auto" w:fill="E6E6E6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7C0DE"/>
      </w:tcPr>
    </w:tblStylePr>
    <w:tblStylePr w:type="band1Horz">
      <w:tcPr>
        <w:tcBorders>
          <w:insideH w:val="single" w:sz="6" w:space="0" w:color="4F81BD"/>
          <w:insideV w:val="single" w:sz="6" w:space="0" w:color="4F81BD"/>
        </w:tcBorders>
        <w:shd w:val="clear" w:color="auto" w:fill="A7C0DE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CE6F2"/>
      </w:tcPr>
    </w:tblStylePr>
    <w:tblStylePr w:type="firstRow">
      <w:rPr>
        <w:b/>
        <w:bCs/>
        <w:color w:val="000000"/>
      </w:rPr>
      <w:tcPr>
        <w:shd w:val="clear" w:color="auto" w:fill="EEF3F9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0A8A6"/>
      </w:tcPr>
    </w:tblStylePr>
    <w:tblStylePr w:type="band1Horz">
      <w:tcPr>
        <w:tcBorders>
          <w:insideH w:val="single" w:sz="6" w:space="0" w:color="C0504D"/>
          <w:insideV w:val="single" w:sz="6" w:space="0" w:color="C0504D"/>
        </w:tcBorders>
        <w:shd w:val="clear" w:color="auto" w:fill="E0A8A6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2DCDB"/>
      </w:tcPr>
    </w:tblStylePr>
    <w:tblStylePr w:type="firstRow">
      <w:rPr>
        <w:b/>
        <w:bCs/>
        <w:color w:val="000000"/>
      </w:rPr>
      <w:tcPr>
        <w:shd w:val="clear" w:color="auto" w:fill="F9EEEE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DDDAC"/>
      </w:tcPr>
    </w:tblStylePr>
    <w:tblStylePr w:type="band1Horz"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BF1DE"/>
      </w:tcPr>
    </w:tblStylePr>
    <w:tblStylePr w:type="firstRow">
      <w:rPr>
        <w:b/>
        <w:bCs/>
        <w:color w:val="000000"/>
      </w:rPr>
      <w:tcPr>
        <w:shd w:val="clear" w:color="auto" w:fill="F5F8EF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B2D1"/>
      </w:tcPr>
    </w:tblStylePr>
    <w:tblStylePr w:type="band1Horz">
      <w:tcPr>
        <w:tcBorders>
          <w:insideH w:val="single" w:sz="6" w:space="0" w:color="8064A2"/>
          <w:insideV w:val="single" w:sz="6" w:space="0" w:color="8064A2"/>
        </w:tcBorders>
        <w:shd w:val="clear" w:color="auto" w:fill="C0B2D1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6E0EC"/>
      </w:tcPr>
    </w:tblStylePr>
    <w:tblStylePr w:type="firstRow">
      <w:rPr>
        <w:b/>
        <w:bCs/>
        <w:color w:val="000000"/>
      </w:rPr>
      <w:tcPr>
        <w:shd w:val="clear" w:color="auto" w:fill="F3F0F6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tcBorders>
          <w:insideH w:val="single" w:sz="6" w:space="0" w:color="4BACC6"/>
          <w:insideV w:val="single" w:sz="6" w:space="0" w:color="4BACC6"/>
        </w:tcBorders>
        <w:shd w:val="clear" w:color="auto" w:fill="A5D6E3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BEEF4"/>
      </w:tcPr>
    </w:tblStylePr>
    <w:tblStylePr w:type="firstRow">
      <w:rPr>
        <w:b/>
        <w:bCs/>
        <w:color w:val="000000"/>
      </w:rPr>
      <w:tcPr>
        <w:shd w:val="clear" w:color="auto" w:fill="EDF7F9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tcBorders>
          <w:insideH w:val="single" w:sz="6" w:space="0" w:color="F79646"/>
          <w:insideV w:val="single" w:sz="6" w:space="0" w:color="F79646"/>
        </w:tcBorders>
        <w:shd w:val="clear" w:color="auto" w:fill="FBCBA3"/>
      </w:tcPr>
    </w:tblStylePr>
    <w:tblStylePr w:type="firstCol">
      <w:rPr>
        <w:b/>
        <w:bCs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ADA"/>
      </w:tcPr>
    </w:tblStylePr>
    <w:tblStylePr w:type="firstRow">
      <w:rPr>
        <w:b/>
        <w:bCs/>
        <w:color w:val="000000"/>
      </w:rPr>
      <w:tcPr>
        <w:shd w:val="clear" w:color="auto" w:fill="FEF5ED"/>
      </w:tcPr>
    </w:tblStylePr>
    <w:tblStylePr w:type="lastRow">
      <w:rPr>
        <w:b/>
        <w:bCs/>
        <w:color w:val="000000"/>
      </w:rPr>
      <w:tcPr>
        <w:tcBorders>
          <w:top w:val="single" w:sz="12" w:space="0" w:color="000000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nwCell"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808080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00000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A7C0DE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C0DE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F81BD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4F81BD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E0A8A6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0A8A6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504D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C0504D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CDDDAC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BBB59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9BBB59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C0B2D1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0B2D1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8064A2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8064A2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A5D6E3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6E3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BACC6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4BACC6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nil" w:sz="4" w:space="0" w:color="auto"/>
        </w:tcBorders>
        <w:shd w:val="clear" w:color="auto" w:fill="FBCBA3"/>
      </w:tcPr>
    </w:tblStylePr>
    <w:tblStylePr w:type="band1Horz"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BA3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/>
          <w:right w:val="single" w:sz="24" w:space="0" w:color="FFFFFF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cPr>
        <w:tcBorders>
          <w:top w:val="nil" w:sz="4" w:space="0" w:color="auto"/>
          <w:left w:val="single" w:sz="24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79646"/>
      </w:tcPr>
    </w:tblStyle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 w:sz="4" w:space="0" w:color="auto"/>
          <w:insideV w:val="single" w:sz="8" w:space="0" w:color="FFFFFF"/>
        </w:tcBorders>
        <w:shd w:val="clear" w:color="auto" w:fill="F79646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76092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76092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376092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76092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24406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53735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53735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953735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53735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632523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76933C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76933C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76933C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76933C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F6228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604A7B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604A7B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604A7B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604A7B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03152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31859B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215867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band1Horz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firstCol">
      <w:tcPr>
        <w:tcBorders>
          <w:top w:val="nil" w:sz="4" w:space="0" w:color="auto"/>
          <w:left w:val="nil" w:sz="4" w:space="0" w:color="auto"/>
          <w:bottom w:val="nil" w:sz="4" w:space="0" w:color="auto"/>
          <w:right w:val="single" w:sz="18" w:space="0" w:color="FFFFFF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lastCol">
      <w:tcPr>
        <w:tcBorders>
          <w:top w:val="nil" w:sz="4" w:space="0" w:color="auto"/>
          <w:left w:val="single" w:sz="18" w:space="0" w:color="FFFFFF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46C0A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18" w:space="0" w:color="FFFFFF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lastRow">
      <w:tcPr>
        <w:tcBorders>
          <w:top w:val="single" w:sz="18" w:space="0" w:color="FFFFFF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974807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999999"/>
      </w:tcPr>
    </w:tblStylePr>
    <w:tblStylePr w:type="band1Horz">
      <w:tcPr>
        <w:shd w:val="clear" w:color="auto" w:fill="808080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000000"/>
          <w:insideV w:val="nil" w:sz="4" w:space="0" w:color="auto"/>
        </w:tcBorders>
        <w:shd w:val="clear" w:color="auto" w:fill="000000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000000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00000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9CDE5"/>
      </w:tcPr>
    </w:tblStylePr>
    <w:tblStylePr w:type="band1Horz">
      <w:tcPr>
        <w:shd w:val="clear" w:color="auto" w:fill="A7C0DE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2C4C74"/>
          <w:insideV w:val="nil" w:sz="4" w:space="0" w:color="auto"/>
        </w:tcBorders>
        <w:shd w:val="clear" w:color="auto" w:fill="2C4D75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2C4D75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2C4D75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6B9B8"/>
      </w:tcPr>
    </w:tblStylePr>
    <w:tblStylePr w:type="band1Horz">
      <w:tcPr>
        <w:shd w:val="clear" w:color="auto" w:fill="E0A8A6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772C2A"/>
          <w:insideV w:val="nil" w:sz="4" w:space="0" w:color="auto"/>
        </w:tcBorders>
        <w:shd w:val="clear" w:color="auto" w:fill="772C2A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772C2A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C0504D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772C2A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D7E4BD"/>
      </w:tcPr>
    </w:tblStylePr>
    <w:tblStylePr w:type="band1Horz">
      <w:tcPr>
        <w:shd w:val="clear" w:color="auto" w:fill="CDDDAC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5E7530"/>
          <w:insideV w:val="nil" w:sz="4" w:space="0" w:color="auto"/>
        </w:tcBorders>
        <w:shd w:val="clear" w:color="auto" w:fill="5F7530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5F7530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8064A2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5F7530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CC1DA"/>
      </w:tcPr>
    </w:tblStylePr>
    <w:tblStylePr w:type="band1Horz">
      <w:tcPr>
        <w:shd w:val="clear" w:color="auto" w:fill="C0B2D1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4C3B62"/>
          <w:insideV w:val="nil" w:sz="4" w:space="0" w:color="auto"/>
        </w:tcBorders>
        <w:shd w:val="clear" w:color="auto" w:fill="4D3B62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4D3B62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9BBB59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4D3B6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B7DEE8"/>
      </w:tcPr>
    </w:tblStylePr>
    <w:tblStylePr w:type="band1Horz">
      <w:tcPr>
        <w:shd w:val="clear" w:color="auto" w:fill="A5D6E3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276A7C"/>
          <w:insideV w:val="nil" w:sz="4" w:space="0" w:color="auto"/>
        </w:tcBorders>
        <w:shd w:val="clear" w:color="auto" w:fill="276A7C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276A7C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F7964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276A7C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CD5B5"/>
      </w:tcPr>
    </w:tblStylePr>
    <w:tblStylePr w:type="band1Horz">
      <w:tcPr>
        <w:shd w:val="clear" w:color="auto" w:fill="FBCBA3"/>
      </w:tcPr>
    </w:tblStylePr>
    <w:tblStylePr w:type="fir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single" w:sz="4" w:space="0" w:color="B65608"/>
          <w:insideV w:val="nil" w:sz="4" w:space="0" w:color="auto"/>
        </w:tcBorders>
        <w:shd w:val="clear" w:color="auto" w:fill="B65708"/>
      </w:tcPr>
    </w:tblStylePr>
    <w:tblStylePr w:type="lastCol">
      <w:rPr>
        <w:color w:val="FFFFFF"/>
      </w:rPr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B65708"/>
      </w:tcPr>
    </w:tblStylePr>
    <w:tblStylePr w:type="firstRow">
      <w:rPr>
        <w:b/>
        <w:bCs/>
      </w:rPr>
      <w:tcPr>
        <w:tcBorders>
          <w:top w:val="nil" w:sz="4" w:space="0" w:color="auto"/>
          <w:left w:val="nil" w:sz="4" w:space="0" w:color="auto"/>
          <w:bottom w:val="single" w:sz="24" w:space="0" w:color="4BACC6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FFFFF"/>
      </w:tcPr>
    </w:tblStylePr>
    <w:tblStylePr w:type="lastRow">
      <w:rPr>
        <w:b/>
        <w:bCs/>
        <w:color w:val="FFFFFF"/>
      </w:rPr>
      <w:tcPr>
        <w:tcBorders>
          <w:top w:val="single" w:sz="6" w:space="0" w:color="FFFFFF"/>
        </w:tcBorders>
        <w:shd w:val="clear" w:color="auto" w:fill="B65708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C0C0C0"/>
      </w:tcPr>
    </w:tblStylePr>
    <w:tblStylePr w:type="band1Horz">
      <w:tcPr>
        <w:shd w:val="clear" w:color="auto" w:fill="CCCCCC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9F3B38"/>
      </w:tcPr>
    </w:tblStylePr>
    <w:tblStylePr w:type="lastRow">
      <w:rPr>
        <w:b/>
        <w:bCs/>
        <w:color w:val="9F3B38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4E0EF"/>
      </w:tcPr>
    </w:tblStylePr>
    <w:tblStylePr w:type="band1Horz">
      <w:tcPr>
        <w:shd w:val="clear" w:color="auto" w:fill="DCE6F2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9F3B38"/>
      </w:tcPr>
    </w:tblStylePr>
    <w:tblStylePr w:type="lastRow">
      <w:rPr>
        <w:b/>
        <w:bCs/>
        <w:color w:val="9F3B38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FD4D3"/>
      </w:tcPr>
    </w:tblStylePr>
    <w:tblStylePr w:type="band1Horz">
      <w:tcPr>
        <w:shd w:val="clear" w:color="auto" w:fill="F2DCDB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9F3B38"/>
      </w:tcPr>
    </w:tblStylePr>
    <w:tblStylePr w:type="lastRow">
      <w:rPr>
        <w:b/>
        <w:bCs/>
        <w:color w:val="9F3B38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6EED6"/>
      </w:tcPr>
    </w:tblStylePr>
    <w:tblStylePr w:type="band1Horz">
      <w:tcPr>
        <w:shd w:val="clear" w:color="auto" w:fill="EBF1DE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664F83"/>
      </w:tcPr>
    </w:tblStylePr>
    <w:tblStylePr w:type="lastRow">
      <w:rPr>
        <w:b/>
        <w:bCs/>
        <w:color w:val="664F83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E0D9E8"/>
      </w:tcPr>
    </w:tblStylePr>
    <w:tblStylePr w:type="band1Horz">
      <w:tcPr>
        <w:shd w:val="clear" w:color="auto" w:fill="E6E0EC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7E9D40"/>
      </w:tcPr>
    </w:tblStylePr>
    <w:tblStylePr w:type="lastRow">
      <w:rPr>
        <w:b/>
        <w:bCs/>
        <w:color w:val="7E9D40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D3EAF1"/>
      </w:tcPr>
    </w:tblStylePr>
    <w:tblStylePr w:type="band1Horz">
      <w:tcPr>
        <w:shd w:val="clear" w:color="auto" w:fill="DBEEF4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F3740B"/>
      </w:tcPr>
    </w:tblStylePr>
    <w:tblStylePr w:type="lastRow">
      <w:rPr>
        <w:b/>
        <w:bCs/>
        <w:color w:val="F3740B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tc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cBorders>
        <w:shd w:val="clear" w:color="auto" w:fill="FDE5D1"/>
      </w:tcPr>
    </w:tblStylePr>
    <w:tblStylePr w:type="band1Horz">
      <w:tcPr>
        <w:shd w:val="clear" w:color="auto" w:fill="FDEADA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/>
      </w:rPr>
      <w:tcPr>
        <w:tcBorders>
          <w:bottom w:val="single" w:sz="12" w:space="0" w:color="FFFFFF"/>
        </w:tcBorders>
        <w:shd w:val="clear" w:color="auto" w:fill="358EA6"/>
      </w:tcPr>
    </w:tblStylePr>
    <w:tblStylePr w:type="lastRow">
      <w:rPr>
        <w:b/>
        <w:bCs/>
        <w:color w:val="358EA6"/>
      </w:rPr>
      <w:tcPr>
        <w:tcBorders>
          <w:top w:val="single" w:sz="12" w:space="0" w:color="000000"/>
        </w:tcBorders>
        <w:shd w:val="clear" w:color="auto" w:fill="FFFFFF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808080"/>
      </w:tcPr>
    </w:tblStylePr>
    <w:tblStylePr w:type="band1Horz">
      <w:tcPr>
        <w:shd w:val="clear" w:color="auto" w:fill="808080"/>
      </w:tcPr>
    </w:tblStylePr>
    <w:tblStylePr w:type="firstCol">
      <w:rPr>
        <w:color w:val="FFFFFF"/>
      </w:rPr>
      <w:tcPr>
        <w:shd w:val="clear" w:color="auto" w:fill="000000"/>
      </w:tcPr>
    </w:tblStylePr>
    <w:tblStylePr w:type="lastCol">
      <w:rPr>
        <w:color w:val="FFFFFF"/>
      </w:rPr>
      <w:tcPr>
        <w:shd w:val="clear" w:color="auto" w:fill="000000"/>
      </w:tcPr>
    </w:tblStylePr>
    <w:tblStylePr w:type="firstRow">
      <w:rPr>
        <w:b/>
        <w:bCs/>
      </w:rPr>
      <w:tcPr>
        <w:shd w:val="clear" w:color="auto" w:fill="999999"/>
      </w:tcPr>
    </w:tblStylePr>
    <w:tblStylePr w:type="lastRow">
      <w:rPr>
        <w:b/>
        <w:bCs/>
        <w:color w:val="000000"/>
      </w:rPr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7C0DE"/>
      </w:tcPr>
    </w:tblStylePr>
    <w:tblStylePr w:type="band1Horz">
      <w:tcPr>
        <w:shd w:val="clear" w:color="auto" w:fill="A7C0DE"/>
      </w:tcPr>
    </w:tblStylePr>
    <w:tblStylePr w:type="firstCol">
      <w:rPr>
        <w:color w:val="FFFFFF"/>
      </w:rPr>
      <w:tcPr>
        <w:shd w:val="clear" w:color="auto" w:fill="376092"/>
      </w:tcPr>
    </w:tblStylePr>
    <w:tblStylePr w:type="lastCol">
      <w:rPr>
        <w:color w:val="FFFFFF"/>
      </w:rPr>
      <w:tcPr>
        <w:shd w:val="clear" w:color="auto" w:fill="376092"/>
      </w:tcPr>
    </w:tblStylePr>
    <w:tblStylePr w:type="firstRow">
      <w:rPr>
        <w:b/>
        <w:bCs/>
      </w:rPr>
      <w:tcPr>
        <w:shd w:val="clear" w:color="auto" w:fill="B9CDE5"/>
      </w:tcPr>
    </w:tblStylePr>
    <w:tblStylePr w:type="lastRow">
      <w:rPr>
        <w:b/>
        <w:bCs/>
        <w:color w:val="000000"/>
      </w:rPr>
      <w:tcPr>
        <w:shd w:val="clear" w:color="auto" w:fill="B9CDE5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E0A8A6"/>
      </w:tcPr>
    </w:tblStylePr>
    <w:tblStylePr w:type="band1Horz">
      <w:tcPr>
        <w:shd w:val="clear" w:color="auto" w:fill="E0A8A6"/>
      </w:tcPr>
    </w:tblStylePr>
    <w:tblStylePr w:type="firstCol">
      <w:rPr>
        <w:color w:val="FFFFFF"/>
      </w:rPr>
      <w:tcPr>
        <w:shd w:val="clear" w:color="auto" w:fill="953735"/>
      </w:tcPr>
    </w:tblStylePr>
    <w:tblStylePr w:type="lastCol">
      <w:rPr>
        <w:color w:val="FFFFFF"/>
      </w:rPr>
      <w:tcPr>
        <w:shd w:val="clear" w:color="auto" w:fill="953735"/>
      </w:tcPr>
    </w:tblStylePr>
    <w:tblStylePr w:type="firstRow">
      <w:rPr>
        <w:b/>
        <w:bCs/>
      </w:rPr>
      <w:tcPr>
        <w:shd w:val="clear" w:color="auto" w:fill="E6B9B8"/>
      </w:tcPr>
    </w:tblStylePr>
    <w:tblStylePr w:type="lastRow">
      <w:rPr>
        <w:b/>
        <w:bCs/>
        <w:color w:val="000000"/>
      </w:rPr>
      <w:tcPr>
        <w:shd w:val="clear" w:color="auto" w:fill="E6B9B8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DDDAC"/>
      </w:tcPr>
    </w:tblStylePr>
    <w:tblStylePr w:type="band1Horz">
      <w:tcPr>
        <w:shd w:val="clear" w:color="auto" w:fill="CDDDAC"/>
      </w:tcPr>
    </w:tblStylePr>
    <w:tblStylePr w:type="firstCol">
      <w:rPr>
        <w:color w:val="FFFFFF"/>
      </w:rPr>
      <w:tcPr>
        <w:shd w:val="clear" w:color="auto" w:fill="76933C"/>
      </w:tcPr>
    </w:tblStylePr>
    <w:tblStylePr w:type="lastCol">
      <w:rPr>
        <w:color w:val="FFFFFF"/>
      </w:rPr>
      <w:tcPr>
        <w:shd w:val="clear" w:color="auto" w:fill="76933C"/>
      </w:tcPr>
    </w:tblStylePr>
    <w:tblStylePr w:type="firstRow">
      <w:rPr>
        <w:b/>
        <w:bCs/>
      </w:rPr>
      <w:tcPr>
        <w:shd w:val="clear" w:color="auto" w:fill="D7E4BD"/>
      </w:tcPr>
    </w:tblStylePr>
    <w:tblStylePr w:type="lastRow">
      <w:rPr>
        <w:b/>
        <w:bCs/>
        <w:color w:val="000000"/>
      </w:rPr>
      <w:tcPr>
        <w:shd w:val="clear" w:color="auto" w:fill="D7E4BD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C0B2D1"/>
      </w:tcPr>
    </w:tblStylePr>
    <w:tblStylePr w:type="band1Horz">
      <w:tcPr>
        <w:shd w:val="clear" w:color="auto" w:fill="C0B2D1"/>
      </w:tcPr>
    </w:tblStylePr>
    <w:tblStylePr w:type="firstCol">
      <w:rPr>
        <w:color w:val="FFFFFF"/>
      </w:rPr>
      <w:tcPr>
        <w:shd w:val="clear" w:color="auto" w:fill="604A7B"/>
      </w:tcPr>
    </w:tblStylePr>
    <w:tblStylePr w:type="lastCol">
      <w:rPr>
        <w:color w:val="FFFFFF"/>
      </w:rPr>
      <w:tcPr>
        <w:shd w:val="clear" w:color="auto" w:fill="604A7B"/>
      </w:tcPr>
    </w:tblStylePr>
    <w:tblStylePr w:type="firstRow">
      <w:rPr>
        <w:b/>
        <w:bCs/>
      </w:rPr>
      <w:tcPr>
        <w:shd w:val="clear" w:color="auto" w:fill="CCC1DA"/>
      </w:tcPr>
    </w:tblStylePr>
    <w:tblStylePr w:type="lastRow">
      <w:rPr>
        <w:b/>
        <w:bCs/>
        <w:color w:val="000000"/>
      </w:rPr>
      <w:tcPr>
        <w:shd w:val="clear" w:color="auto" w:fill="CCC1DA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A5D6E3"/>
      </w:tcPr>
    </w:tblStylePr>
    <w:tblStylePr w:type="band1Horz">
      <w:tcPr>
        <w:shd w:val="clear" w:color="auto" w:fill="A5D6E3"/>
      </w:tcPr>
    </w:tblStylePr>
    <w:tblStylePr w:type="firstCol">
      <w:rPr>
        <w:color w:val="FFFFFF"/>
      </w:rPr>
      <w:tcPr>
        <w:shd w:val="clear" w:color="auto" w:fill="31859B"/>
      </w:tcPr>
    </w:tblStylePr>
    <w:tblStylePr w:type="lastCol">
      <w:rPr>
        <w:color w:val="FFFFFF"/>
      </w:rPr>
      <w:tcPr>
        <w:shd w:val="clear" w:color="auto" w:fill="31859B"/>
      </w:tcPr>
    </w:tblStylePr>
    <w:tblStylePr w:type="firstRow">
      <w:rPr>
        <w:b/>
        <w:bCs/>
      </w:rPr>
      <w:tcPr>
        <w:shd w:val="clear" w:color="auto" w:fill="B7DEE8"/>
      </w:tcPr>
    </w:tblStylePr>
    <w:tblStylePr w:type="lastRow">
      <w:rPr>
        <w:b/>
        <w:bCs/>
        <w:color w:val="000000"/>
      </w:rPr>
      <w:tcPr>
        <w:shd w:val="clear" w:color="auto" w:fill="B7DEE8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cPr>
        <w:shd w:val="clear" w:color="auto" w:fill="FBCBA3"/>
      </w:tcPr>
    </w:tblStylePr>
    <w:tblStylePr w:type="band1Horz">
      <w:tcPr>
        <w:shd w:val="clear" w:color="auto" w:fill="FBCBA3"/>
      </w:tcPr>
    </w:tblStylePr>
    <w:tblStylePr w:type="firstCol">
      <w:rPr>
        <w:color w:val="FFFFFF"/>
      </w:rPr>
      <w:tcPr>
        <w:shd w:val="clear" w:color="auto" w:fill="E46C0A"/>
      </w:tcPr>
    </w:tblStylePr>
    <w:tblStylePr w:type="lastCol">
      <w:rPr>
        <w:color w:val="FFFFFF"/>
      </w:rPr>
      <w:tcPr>
        <w:shd w:val="clear" w:color="auto" w:fill="E46C0A"/>
      </w:tcPr>
    </w:tblStylePr>
    <w:tblStylePr w:type="firstRow">
      <w:rPr>
        <w:b/>
        <w:bCs/>
      </w:rPr>
      <w:tcPr>
        <w:shd w:val="clear" w:color="auto" w:fill="FCD5B5"/>
      </w:tcPr>
    </w:tblStylePr>
    <w:tblStylePr w:type="lastRow">
      <w:rPr>
        <w:b/>
        <w:bCs/>
        <w:color w:val="000000"/>
      </w:rPr>
      <w:tcPr>
        <w:shd w:val="clear" w:color="auto" w:fill="FCD5B5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fontTable" Target="fontTable.xml"/><Relationship Id="rId6" Type="http://schemas.openxmlformats.org/officeDocument/2006/relationships/customXml" Target="../customXml/item1.xml"/><Relationship Id="rId7" Type="http://schemas.microsoft.com/office/2007/relationships/stylesWithEffects" Target="stylesWithEffects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1269</Words>
  <Paragraphs>296</Paragraphs>
  <DocSecurity>0</DocSecurity>
  <Template>Normal.dotm</Template>
  <ScaleCrop>false</ScaleCrop>
  <Manager/>
  <Company/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Hamma</cp:lastModifiedBy>
  <cp:revision>5</cp:revision>
  <dcterms:created xsi:type="dcterms:W3CDTF">2013-12-23T23:15:00Z</dcterms:created>
  <dcterms:modified xsi:type="dcterms:W3CDTF">2026-10-28T17:48:19Z</dcterms:modified>
</cp:coreProperties>
</file>