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3A6C" w14:textId="77777777" w:rsidR="00B859D1" w:rsidRPr="00B859D1" w:rsidRDefault="00B859D1" w:rsidP="00B859D1">
      <w:pPr>
        <w:spacing w:line="360" w:lineRule="auto"/>
        <w:jc w:val="both"/>
        <w:rPr>
          <w:rFonts w:ascii="Times New Roman" w:hAnsi="Times New Roman" w:cs="Times New Roman"/>
          <w:sz w:val="18"/>
          <w:szCs w:val="18"/>
        </w:rPr>
      </w:pPr>
    </w:p>
    <w:p w14:paraId="0908B095" w14:textId="77777777" w:rsidR="00B859D1" w:rsidRPr="00B859D1" w:rsidRDefault="00B859D1" w:rsidP="00B859D1">
      <w:pPr>
        <w:spacing w:line="360" w:lineRule="auto"/>
        <w:jc w:val="both"/>
        <w:rPr>
          <w:rFonts w:ascii="Times New Roman" w:hAnsi="Times New Roman" w:cs="Times New Roman"/>
          <w:sz w:val="18"/>
          <w:szCs w:val="18"/>
        </w:rPr>
      </w:pPr>
    </w:p>
    <w:p w14:paraId="7B4AEB3F" w14:textId="77777777" w:rsidR="00B859D1" w:rsidRPr="00B859D1" w:rsidRDefault="00B859D1" w:rsidP="00B859D1">
      <w:pPr>
        <w:spacing w:line="360" w:lineRule="auto"/>
        <w:jc w:val="both"/>
        <w:rPr>
          <w:rFonts w:ascii="Times New Roman" w:hAnsi="Times New Roman" w:cs="Times New Roman"/>
          <w:sz w:val="18"/>
          <w:szCs w:val="18"/>
        </w:rPr>
      </w:pPr>
    </w:p>
    <w:p w14:paraId="369FD2F0" w14:textId="77777777"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t xml:space="preserve">HINDOUISME ET DÉVIANCE SPIRITUELLE Comment l’hindouisme aborde et explique la Sorcellerie et le Satanisme </w:t>
      </w:r>
    </w:p>
    <w:p w14:paraId="682E1AC5" w14:textId="042FBE2F" w:rsidR="00186A94"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t>Approche clinique de la Médecine Traditionnelle des Handicapés Spirituels (MTHS)</w:t>
      </w:r>
    </w:p>
    <w:p w14:paraId="48646397" w14:textId="4E4D6149"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br w:type="page"/>
      </w:r>
    </w:p>
    <w:p w14:paraId="099A07A9" w14:textId="51B7EF7F"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lastRenderedPageBreak/>
        <w:t>LES CLÉFS DU SUCCÈS DE L’ÉCOLE DU FUTUR</w:t>
      </w:r>
    </w:p>
    <w:p w14:paraId="4BCA9005"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73B731B9"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B859D1">
        <w:rPr>
          <w:rFonts w:ascii="Times New Roman" w:hAnsi="Times New Roman" w:cs="Times New Roman"/>
          <w:sz w:val="18"/>
          <w:szCs w:val="18"/>
        </w:rPr>
        <w:t>des cinq continent</w:t>
      </w:r>
      <w:proofErr w:type="gramEnd"/>
      <w:r w:rsidRPr="00B859D1">
        <w:rPr>
          <w:rFonts w:ascii="Times New Roman" w:hAnsi="Times New Roman" w:cs="Times New Roman"/>
          <w:sz w:val="18"/>
          <w:szCs w:val="18"/>
        </w:rPr>
        <w:t xml:space="preserve"> de la Planète Terre. </w:t>
      </w:r>
    </w:p>
    <w:p w14:paraId="2DB39811"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1948F989" w14:textId="65E0147F"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0C5331CB"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B859D1">
        <w:rPr>
          <w:rFonts w:ascii="Times New Roman" w:hAnsi="Times New Roman" w:cs="Times New Roman"/>
          <w:sz w:val="18"/>
          <w:szCs w:val="18"/>
        </w:rPr>
        <w:t>sacerdoce;</w:t>
      </w:r>
      <w:proofErr w:type="gramEnd"/>
      <w:r w:rsidRPr="00B859D1">
        <w:rPr>
          <w:rFonts w:ascii="Times New Roman" w:hAnsi="Times New Roman" w:cs="Times New Roman"/>
          <w:sz w:val="18"/>
          <w:szCs w:val="18"/>
        </w:rPr>
        <w:t xml:space="preserve"> Puisque tu as oublié la loi de ton Dieu, J'oublierai aussi tes enfants » (OSEE 4.6). </w:t>
      </w:r>
    </w:p>
    <w:p w14:paraId="07E677BC"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NOTRE METHODE DE TRANSFORMATION : « </w:t>
      </w:r>
      <w:proofErr w:type="gramStart"/>
      <w:r w:rsidRPr="00B859D1">
        <w:rPr>
          <w:rFonts w:ascii="Times New Roman" w:hAnsi="Times New Roman" w:cs="Times New Roman"/>
          <w:sz w:val="18"/>
          <w:szCs w:val="18"/>
        </w:rPr>
        <w:t>Homme!!!</w:t>
      </w:r>
      <w:proofErr w:type="gramEnd"/>
      <w:r w:rsidRPr="00B859D1">
        <w:rPr>
          <w:rFonts w:ascii="Times New Roman" w:hAnsi="Times New Roman" w:cs="Times New Roman"/>
          <w:sz w:val="18"/>
          <w:szCs w:val="18"/>
        </w:rPr>
        <w:t xml:space="preserve"> connais-toi d'abord spirituellement toi-</w:t>
      </w:r>
      <w:proofErr w:type="gramStart"/>
      <w:r w:rsidRPr="00B859D1">
        <w:rPr>
          <w:rFonts w:ascii="Times New Roman" w:hAnsi="Times New Roman" w:cs="Times New Roman"/>
          <w:sz w:val="18"/>
          <w:szCs w:val="18"/>
        </w:rPr>
        <w:t>même;</w:t>
      </w:r>
      <w:proofErr w:type="gramEnd"/>
      <w:r w:rsidRPr="00B859D1">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2F86D199"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4A7518D4" w14:textId="2F8C2C28"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(Jean Paul Sylvain SIDA ABENA)</w:t>
      </w:r>
    </w:p>
    <w:p w14:paraId="0F2F2083" w14:textId="1DFF01F5"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br w:type="page"/>
      </w:r>
    </w:p>
    <w:p w14:paraId="2CD19E70" w14:textId="6A874BE5" w:rsidR="00B859D1" w:rsidRDefault="00B859D1" w:rsidP="00B859D1">
      <w:pPr>
        <w:spacing w:line="360" w:lineRule="auto"/>
        <w:jc w:val="both"/>
        <w:rPr>
          <w:rFonts w:ascii="Times New Roman" w:hAnsi="Times New Roman" w:cs="Times New Roman"/>
          <w:sz w:val="18"/>
          <w:szCs w:val="18"/>
        </w:rPr>
      </w:pPr>
      <w:r>
        <w:rPr>
          <w:rFonts w:ascii="Times New Roman" w:hAnsi="Times New Roman" w:cs="Times New Roman"/>
          <w:sz w:val="18"/>
          <w:szCs w:val="18"/>
        </w:rPr>
        <w:lastRenderedPageBreak/>
        <w:t>SOMMAIRE</w:t>
      </w:r>
    </w:p>
    <w:p w14:paraId="66E7490F" w14:textId="7CE9B4FF"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Préface……………………………………………………………………………P.14 </w:t>
      </w:r>
    </w:p>
    <w:p w14:paraId="33B58CCD"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Avant-propos………………………………………………………………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P.18 </w:t>
      </w:r>
    </w:p>
    <w:p w14:paraId="0737E7F9"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Introduction générale……………………………………………………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.P.24 </w:t>
      </w:r>
    </w:p>
    <w:p w14:paraId="74E80D9C" w14:textId="77777777" w:rsid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PREMIERE PARTIE LES FONDEMENTS SPIRITUELS ET COSMOLOGIQUES DE </w:t>
      </w:r>
      <w:proofErr w:type="gramStart"/>
      <w:r w:rsidRPr="00B859D1">
        <w:rPr>
          <w:rFonts w:ascii="Times New Roman" w:hAnsi="Times New Roman" w:cs="Times New Roman"/>
          <w:sz w:val="16"/>
          <w:szCs w:val="16"/>
        </w:rPr>
        <w:t>L’HINDOUISME..</w:t>
      </w:r>
      <w:proofErr w:type="gramEnd"/>
      <w:r w:rsidRPr="00B859D1">
        <w:rPr>
          <w:rFonts w:ascii="Times New Roman" w:hAnsi="Times New Roman" w:cs="Times New Roman"/>
          <w:sz w:val="16"/>
          <w:szCs w:val="16"/>
        </w:rPr>
        <w:t xml:space="preserve">P.41 </w:t>
      </w:r>
    </w:p>
    <w:p w14:paraId="305D0E18" w14:textId="02D65E30"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 : Origines historiques de l’hindouisme………………………...P.42 </w:t>
      </w:r>
    </w:p>
    <w:p w14:paraId="7F034C67"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2 : Les textes sacrés de l’hindouisme……………………………P.54 </w:t>
      </w:r>
    </w:p>
    <w:p w14:paraId="0971E6D7"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3 : Cosmologie et métaphysique hindoue………………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…P.67 </w:t>
      </w:r>
    </w:p>
    <w:p w14:paraId="412A73F2"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4 : Les entités spirituelles dans la cosmologie hindoue…...…P.80 </w:t>
      </w:r>
    </w:p>
    <w:p w14:paraId="163F7E21"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DEUXIÈME PARTIE LES FORCES SPIRITUELLES MALVEILLANTES DANS LA TRADITION HINDOUE………………………………………………………………………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.P..97 </w:t>
      </w:r>
    </w:p>
    <w:p w14:paraId="6CB11A30"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5 : Les concepts hindous du mal spirituel………………………P.98 </w:t>
      </w:r>
    </w:p>
    <w:p w14:paraId="6C293188"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6 : Les entités démoniaques dans l’hindouisme……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P.107 </w:t>
      </w:r>
    </w:p>
    <w:p w14:paraId="4DF59697"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7 : Les pratiques occultes dans certaines traditions Hindoues……………………………………………………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P.117 </w:t>
      </w:r>
    </w:p>
    <w:p w14:paraId="2B10B254"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8 : Tantrisme et manipulation des forces spirituelles…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.P.125 </w:t>
      </w:r>
    </w:p>
    <w:p w14:paraId="2986DD5D"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TROISIÈME PARTIE SORCELLERIE ET SATANISME : APPROCHE COMPARATIVE…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.P.133 </w:t>
      </w:r>
    </w:p>
    <w:p w14:paraId="7B8903E4"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9 : Anthropologie de la sorcellerie……………………...…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P.134 </w:t>
      </w:r>
    </w:p>
    <w:p w14:paraId="5C9F729F"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10 : Histoire et théologie du satanisme…………………………P.142 </w:t>
      </w:r>
    </w:p>
    <w:p w14:paraId="6B2B3653"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11 : Comparaison entre les forces démoniaques hindoues et le satanisme……………………………………………………………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P.150 </w:t>
      </w:r>
    </w:p>
    <w:p w14:paraId="0EFA53DD" w14:textId="44E0F6F2"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12 : Syncrétisme spirituel et confusion religieuse…………...P.158  </w:t>
      </w:r>
    </w:p>
    <w:p w14:paraId="7A54EF5E"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lastRenderedPageBreak/>
        <w:t xml:space="preserve">QUATRIÈME PARTIE DÉVIANCE SPIRITUELLE ET HANDICAPS SPIRITUELS…………………P.66 </w:t>
      </w:r>
    </w:p>
    <w:p w14:paraId="0C212A65"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13 : Concept de déviance spirituelle…………………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…...P.167 </w:t>
      </w:r>
    </w:p>
    <w:p w14:paraId="6BFD7271"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14 : Typologie des handicaps spirituels…………………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.P.175 </w:t>
      </w:r>
    </w:p>
    <w:p w14:paraId="571B1817"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15 : Sémiologie des maladies spirituelles……………………...P.184 </w:t>
      </w:r>
    </w:p>
    <w:p w14:paraId="2914BA87"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16 : Diagnostic clinique des phénomènes spirituels…………P.192 </w:t>
      </w:r>
    </w:p>
    <w:p w14:paraId="2F78EF2D"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CINQUIÈME PARTIE APPROCHE CLINIQUE DE LA MÉDECINE TRADITIONNELLE DES HANDICAPÉS SPIRITUELS (MTHS)……………………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P.199 </w:t>
      </w:r>
    </w:p>
    <w:p w14:paraId="394B608F"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17 : Fondements théoriques de la MTHS…………………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P.200 </w:t>
      </w:r>
    </w:p>
    <w:p w14:paraId="4D7C95F8"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18 : Protocoles de diagnostic spirituel……………………</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P.208 </w:t>
      </w:r>
    </w:p>
    <w:p w14:paraId="67AD9351"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19 : Thérapies spirituelles…………………………………….......P.216 </w:t>
      </w:r>
    </w:p>
    <w:p w14:paraId="66F4E36B"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20 : Accompagnement des personnes affectées………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.P.224 </w:t>
      </w:r>
    </w:p>
    <w:p w14:paraId="40E0C0D2"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SIXIÈME PARTIE PRÉVENTION DES DÉVIANCES SPIRITUELLES……………………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P.233 </w:t>
      </w:r>
    </w:p>
    <w:p w14:paraId="297AB119"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21 : Éducation spirituelle……………………………………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P.234 </w:t>
      </w:r>
    </w:p>
    <w:p w14:paraId="187686B0"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Chapitre 22 : Protection contre les influences occultes…………</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.P.243 </w:t>
      </w:r>
    </w:p>
    <w:p w14:paraId="79A15D30"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 xml:space="preserve">Chapitre 23 : Rôle des institutions religieuses…………………………...P.252 </w:t>
      </w:r>
    </w:p>
    <w:p w14:paraId="73FCC441" w14:textId="77777777"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Conclusion générale……………………………………………………</w:t>
      </w:r>
      <w:proofErr w:type="gramStart"/>
      <w:r w:rsidRPr="00B859D1">
        <w:rPr>
          <w:rFonts w:ascii="Times New Roman" w:hAnsi="Times New Roman" w:cs="Times New Roman"/>
          <w:sz w:val="16"/>
          <w:szCs w:val="16"/>
        </w:rPr>
        <w:t>…….</w:t>
      </w:r>
      <w:proofErr w:type="gramEnd"/>
      <w:r w:rsidRPr="00B859D1">
        <w:rPr>
          <w:rFonts w:ascii="Times New Roman" w:hAnsi="Times New Roman" w:cs="Times New Roman"/>
          <w:sz w:val="16"/>
          <w:szCs w:val="16"/>
        </w:rPr>
        <w:t xml:space="preserve">.P.262 </w:t>
      </w:r>
    </w:p>
    <w:p w14:paraId="5AFAC89A" w14:textId="3E80F326" w:rsidR="00B859D1" w:rsidRPr="00B859D1" w:rsidRDefault="00B859D1" w:rsidP="00B859D1">
      <w:pPr>
        <w:spacing w:line="360" w:lineRule="auto"/>
        <w:jc w:val="both"/>
        <w:rPr>
          <w:rFonts w:ascii="Times New Roman" w:hAnsi="Times New Roman" w:cs="Times New Roman"/>
          <w:sz w:val="16"/>
          <w:szCs w:val="16"/>
        </w:rPr>
      </w:pPr>
      <w:r w:rsidRPr="00B859D1">
        <w:rPr>
          <w:rFonts w:ascii="Times New Roman" w:hAnsi="Times New Roman" w:cs="Times New Roman"/>
          <w:sz w:val="16"/>
          <w:szCs w:val="16"/>
        </w:rPr>
        <w:t>Localisation du Centre de MTHS d’</w:t>
      </w:r>
      <w:proofErr w:type="spellStart"/>
      <w:r w:rsidRPr="00B859D1">
        <w:rPr>
          <w:rFonts w:ascii="Times New Roman" w:hAnsi="Times New Roman" w:cs="Times New Roman"/>
          <w:sz w:val="16"/>
          <w:szCs w:val="16"/>
        </w:rPr>
        <w:t>Abili</w:t>
      </w:r>
      <w:proofErr w:type="spellEnd"/>
      <w:r w:rsidRPr="00B859D1">
        <w:rPr>
          <w:rFonts w:ascii="Times New Roman" w:hAnsi="Times New Roman" w:cs="Times New Roman"/>
          <w:sz w:val="16"/>
          <w:szCs w:val="16"/>
        </w:rPr>
        <w:t xml:space="preserve"> (Cameroun)……………………P.272</w:t>
      </w:r>
    </w:p>
    <w:p w14:paraId="3C255691" w14:textId="7F76D9A1"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br w:type="page"/>
      </w:r>
    </w:p>
    <w:p w14:paraId="0D87F758" w14:textId="0AD69064"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lastRenderedPageBreak/>
        <w:t>PREFACE</w:t>
      </w:r>
    </w:p>
    <w:p w14:paraId="712BB129"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À l’aube du XXIᵉ siècle, l’humanité se trouve à la croisée des chemins : jamais les connaissances scientifiques n’ont été aussi vastes, jamais les systèmes de pensée n’ont été aussi diversifiés, et pourtant, jamais les interrogations fondamentales sur la nature invisible de l’existence n’ont été aussi pressantes. Dans cet entrelacs de modernité et de traditions millénaires, une question persiste, silencieuse mais déterminante : que savons-nous réellement des forces invisibles qui influencent l’homme ? C’est dans cet espace de tension entre visible et invisible, entre science et spiritualité, que s’inscrit le présent ouvrage, « HINDOUISME ET DÉVIANCE SPIRITUELLE : Comment l’hindouisme aborde et explique la Sorcellerie et le </w:t>
      </w:r>
      <w:proofErr w:type="gramStart"/>
      <w:r w:rsidRPr="00B859D1">
        <w:rPr>
          <w:rFonts w:ascii="Times New Roman" w:hAnsi="Times New Roman" w:cs="Times New Roman"/>
          <w:sz w:val="18"/>
          <w:szCs w:val="18"/>
        </w:rPr>
        <w:t>Satanisme»</w:t>
      </w:r>
      <w:proofErr w:type="gramEnd"/>
      <w:r w:rsidRPr="00B859D1">
        <w:rPr>
          <w:rFonts w:ascii="Times New Roman" w:hAnsi="Times New Roman" w:cs="Times New Roman"/>
          <w:sz w:val="18"/>
          <w:szCs w:val="18"/>
        </w:rPr>
        <w:t xml:space="preserve">, proposé selon une approche clinique de la Médecine Traditionnelle des Handicapés Spirituels (MTHS). </w:t>
      </w:r>
    </w:p>
    <w:p w14:paraId="73BA839F" w14:textId="39071A5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L’hindouisme, l’un des plus anciens systèmes spirituels de l’humanité, ne se limite pas à un ensemble de croyances religieuses. Il constitue une véritable cosmologie, une science du réel où le monde matériel n’est que la surface visible d’une réalité infiniment plus complexe, peuplée d’énergies, d’entités, de forces antagonistes et de dynamiques karmiques. Dans cette vision, le bien et le mal ne sont pas simplement des catégories morales, mais des forces agissantes, structurantes, capables d’influencer profondément la destinée humaine.  </w:t>
      </w:r>
    </w:p>
    <w:p w14:paraId="3769D7AA"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À travers ses textes sacrés, ses traditions ésotériques et ses pratiques rituelles, l’hindouisme propose une lecture nuancée et stratifiée des phénomènes que d’autres traditions désignent sous les termes de sorcellerie ou de satanisme. Il ne s’agit pas uniquement d’une opposition binaire entre lumière et ténèbres, mais d’un système complexe où ignorance, illusion (Maya), désir, attachement et déséquilibres énergétiques participent à la genèse de ce que l’on pourrait qualifier de « déviances spirituelles ». C’est précisément ici que l’apport de la Médecine Traditionnelle des Handicapés Spirituels (MTHS) devient fondamental. En proposant une lecture clinique des déséquilibres spirituels, la MTHS ne se contente pas d’interpréter les </w:t>
      </w:r>
      <w:r w:rsidRPr="00B859D1">
        <w:rPr>
          <w:rFonts w:ascii="Times New Roman" w:hAnsi="Times New Roman" w:cs="Times New Roman"/>
          <w:sz w:val="18"/>
          <w:szCs w:val="18"/>
        </w:rPr>
        <w:lastRenderedPageBreak/>
        <w:t xml:space="preserve">phénomènes : elle les observe, les catégorise et cherche à en comprendre les mécanismes opératoires dans la vie concrète des individus. Elle établit un pont audacieux entre savoirs traditionnels africains, spiritualités universelles et exigences d’une analyse rigoureuse. </w:t>
      </w:r>
    </w:p>
    <w:p w14:paraId="3373C094" w14:textId="4466D888"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Cet ouvrage se distingue ainsi par son ambition : mettre en dialogue deux univers de pensée majeurs — l’hindouisme et la MTHS — afin d’explorer, avec méthode et profondeur, les manifestations, les causes et les implications des dérives spirituelles dans la vie humaine. Il ne s’agit ni d’un traité dogmatique, ni d’un discours polémique, mais d’une tentative de compréhension globale, à la fois critique et ouverte.  </w:t>
      </w:r>
    </w:p>
    <w:p w14:paraId="30D51108"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Le lecteur est invité à pénétrer un univers où les frontières entre le psychique et le spirituel deviennent poreuses, où les symboles prennent chair dans l’expérience vécue, et où les notions de sorcellerie et de satanisme cessent d’être de simples constructions culturelles pour être interrogées comme des réalités complexes, aux implications multiples. Mais au-delà de l’analyse, ce livre pose une question essentielle : comment l’homme contemporain peut-il se situer face à ces réalités invisibles ? Doit-il les rejeter au nom de la rationalité moderne ? Doit-il les accepter sans discernement au nom de la tradition ? Ou doit-il, au contraire, développer une intelligence nouvelle, capable d’articuler science, spiritualité et expérience humaine ? C’est à cette exigence de discernement que répond la démarche proposée ici. En mobilisant les ressources conceptuelles de la MTHS, l’auteur offre une grille de lecture originale, susceptible d’éclairer non seulement les phénomènes étudiés, mais également les crises identitaires, morales et spirituelles qui traversent nos sociétés contemporaines. En définitive, cette œuvre ne se contente pas d’explorer des concepts : elle interpelle. Elle dérange parfois, questionne souvent, mais surtout, elle invite à une réflexion profonde sur la condition humaine, sur ses fragilités invisibles et sur les voies possibles de rééquilibrage.  </w:t>
      </w:r>
    </w:p>
    <w:p w14:paraId="5584CCDB"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Que le lecteur aborde ces pages avec ouverture d’esprit, rigueur intellectuelle et prudence critique. Car c’est dans cet équilibre entre foi, raison </w:t>
      </w:r>
      <w:r w:rsidRPr="00B859D1">
        <w:rPr>
          <w:rFonts w:ascii="Times New Roman" w:hAnsi="Times New Roman" w:cs="Times New Roman"/>
          <w:sz w:val="18"/>
          <w:szCs w:val="18"/>
        </w:rPr>
        <w:lastRenderedPageBreak/>
        <w:t xml:space="preserve">et expérience que peut émerger une compréhension authentique des réalités les plus subtiles de l’existence. Ainsi s’ouvre un voyage. </w:t>
      </w:r>
      <w:proofErr w:type="gramStart"/>
      <w:r w:rsidRPr="00B859D1">
        <w:rPr>
          <w:rFonts w:ascii="Times New Roman" w:hAnsi="Times New Roman" w:cs="Times New Roman"/>
          <w:sz w:val="18"/>
          <w:szCs w:val="18"/>
        </w:rPr>
        <w:t>non</w:t>
      </w:r>
      <w:proofErr w:type="gramEnd"/>
      <w:r w:rsidRPr="00B859D1">
        <w:rPr>
          <w:rFonts w:ascii="Times New Roman" w:hAnsi="Times New Roman" w:cs="Times New Roman"/>
          <w:sz w:val="18"/>
          <w:szCs w:val="18"/>
        </w:rPr>
        <w:t xml:space="preserve"> pas seulement dans les doctrines, mais dans les profondeurs de l’être. </w:t>
      </w:r>
    </w:p>
    <w:p w14:paraId="6CFDF35A" w14:textId="78FB2343"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L’EDITEUR</w:t>
      </w:r>
    </w:p>
    <w:p w14:paraId="2737573E" w14:textId="111ABDB8" w:rsidR="00B859D1" w:rsidRPr="00B859D1" w:rsidRDefault="00B859D1" w:rsidP="00B859D1">
      <w:pPr>
        <w:spacing w:line="360" w:lineRule="auto"/>
        <w:jc w:val="both"/>
        <w:rPr>
          <w:rFonts w:ascii="Times New Roman" w:hAnsi="Times New Roman" w:cs="Times New Roman"/>
          <w:sz w:val="18"/>
          <w:szCs w:val="18"/>
        </w:rPr>
      </w:pPr>
      <w:r w:rsidRPr="00B859D1">
        <w:rPr>
          <w:rFonts w:ascii="Times New Roman" w:hAnsi="Times New Roman" w:cs="Times New Roman"/>
          <w:sz w:val="18"/>
          <w:szCs w:val="18"/>
        </w:rPr>
        <w:br w:type="page"/>
      </w:r>
    </w:p>
    <w:p w14:paraId="49ECE74D" w14:textId="7F56E228"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lastRenderedPageBreak/>
        <w:t>AVANT-PROPOS</w:t>
      </w:r>
    </w:p>
    <w:p w14:paraId="62E1F3CC"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Au tournant du XXIᵉ siècle, l’humanité traverse une mutation silencieuse mais profonde, où les repères traditionnels de compréhension du monde se recomposent sous l’effet conjugué de la mondialisation, des avancées scientifiques et de la circulation accélérée des idées. Dans ce contexte, les systèmes religieux, longtemps considérés comme des structures relativement stables, se trouvent aujourd’hui soumis à des dynamiques inédites de transformation, de recomposition et parfois de fragmentation. Les frontières autrefois étanches entre les traditions spirituelles s’estompent, donnant lieu à des hybridations doctrinales, à des formes nouvelles de religiosité et à une reconfiguration des rapports entre le sacré et le profane. Ce phénomène, observable à l’échelle planétaire, ne se limite pas à une simple évolution des croyances ; il traduit une mutation plus profonde du rapport de l’homme au sens, à la transcendance et à l’invisible. </w:t>
      </w:r>
    </w:p>
    <w:p w14:paraId="2F87C4D8" w14:textId="7731C640"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Dans les sociétés dites modernes, la sécularisation n’a pas entraîné la disparition du religieux, mais plutôt sa transformation. Le sacré, loin de s’effacer, se redéploie dans des espaces inattendus : pratiques spirituelles individualisées, mouvements néo-religieux, retour des médecines traditionnelles, ou encore résurgence de croyances en des forces invisibles agissantes. Parallèlement, dans de nombreuses sociétés du Sud, notamment en Afrique et en Asie, les systèmes religieux traditionnels coexistent désormais avec des influences </w:t>
      </w:r>
      <w:proofErr w:type="gramStart"/>
      <w:r w:rsidRPr="00B859D1">
        <w:rPr>
          <w:rFonts w:ascii="Times New Roman" w:hAnsi="Times New Roman" w:cs="Times New Roman"/>
          <w:sz w:val="18"/>
          <w:szCs w:val="18"/>
        </w:rPr>
        <w:t>exogènes  (</w:t>
      </w:r>
      <w:proofErr w:type="gramEnd"/>
      <w:r w:rsidRPr="00B859D1">
        <w:rPr>
          <w:rFonts w:ascii="Times New Roman" w:hAnsi="Times New Roman" w:cs="Times New Roman"/>
          <w:sz w:val="18"/>
          <w:szCs w:val="18"/>
        </w:rPr>
        <w:t xml:space="preserve">christianisme, islam, spiritualités orientales) créant des configurations religieuses complexes où cohabitent continuité et rupture. Cette pluralité religieuse engendre à la fois une richesse culturelle et une certaine confusion herméneutique, dans la mesure où les cadres d’interprétation des phénomènes spirituels deviennent multiples, parfois contradictoires. </w:t>
      </w:r>
    </w:p>
    <w:p w14:paraId="2D652E8C"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C’est dans ce contexte global de transformations religieuses que se pose avec acuité la question de la compréhension des phénomènes spirituels dits « déviants » </w:t>
      </w:r>
      <w:proofErr w:type="gramStart"/>
      <w:r w:rsidRPr="00B859D1">
        <w:rPr>
          <w:rFonts w:ascii="Times New Roman" w:hAnsi="Times New Roman" w:cs="Times New Roman"/>
          <w:sz w:val="18"/>
          <w:szCs w:val="18"/>
        </w:rPr>
        <w:t>( sorcellerie</w:t>
      </w:r>
      <w:proofErr w:type="gramEnd"/>
      <w:r w:rsidRPr="00B859D1">
        <w:rPr>
          <w:rFonts w:ascii="Times New Roman" w:hAnsi="Times New Roman" w:cs="Times New Roman"/>
          <w:sz w:val="18"/>
          <w:szCs w:val="18"/>
        </w:rPr>
        <w:t xml:space="preserve">, possession, influences invisibles, pratiques occultes) qui, loin de disparaître, semblent au contraire se reconfigurer et </w:t>
      </w:r>
      <w:r w:rsidRPr="00B859D1">
        <w:rPr>
          <w:rFonts w:ascii="Times New Roman" w:hAnsi="Times New Roman" w:cs="Times New Roman"/>
          <w:sz w:val="18"/>
          <w:szCs w:val="18"/>
        </w:rPr>
        <w:lastRenderedPageBreak/>
        <w:t xml:space="preserve">parfois s’intensifier dans les imaginaires collectifs. Ces phénomènes, longtemps relégués aux marges de la rationalité scientifique, continuent pourtant de structurer les représentations du monde et d’influencer les comportements individuels et sociaux. Face à cette réalité, une double tentation se présente. D’une part, celle du réductionnisme rationaliste, qui consiste à disqualifier ces phénomènes en les assimilant à de simples constructions psychologiques ou à des survivances archaïques. D’autre part, celle de l’adhésion non critique, qui conduit à accepter sans discernement toute interprétation relevant du registre du surnaturel. Entre ces deux extrêmes, il apparaît nécessaire de tracer une voie médiane, fondée sur une approche rigoureuse, capable d’articuler les exigences de la rationalité scientifique et la reconnaissance de la complexité des expériences humaines liées au spirituel.  </w:t>
      </w:r>
    </w:p>
    <w:p w14:paraId="21DE4E68"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C’est précisément dans cette perspective que s’inscrit la présente réflexion, en proposant une lecture scientifique des phénomènes spirituels. Une telle entreprise suppose d’abord de clarifier ce que l’on entend par « scientificité » dans ce domaine. Il ne s’agit pas de réduire le spirituel aux catégories classiques des sciences expérimentales, mais d’adopter une démarche méthodique, critique et structurée, reposant sur l’observation, la description, la comparaison et l’analyse des faits. La scientificité, ici, se définit moins par l’objectivation totale du phénomène que par la rigueur de l’approche et la cohérence du cadre interprétatif. L’étude des phénomènes spirituels requiert ainsi une approche pluridisciplinaire, mobilisant à la fois l’anthropologie, la sociologie, la psychologie, la théologie et les savoirs traditionnels. Chaque discipline apporte un éclairage spécifique : l’anthropologie analyse les représentations culturelles, la sociologie étudie les dynamiques collectives, la psychologie explore les dimensions subjectives, tandis que la théologie interroge les systèmes de croyances. </w:t>
      </w:r>
    </w:p>
    <w:p w14:paraId="102A9472"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Cependant, ces approches, bien que complémentaires, restent souvent fragmentées et peinent à rendre compte de la globalité des expériences vécues. C’est dans ce contexte que la Médecine Traditionnelle des Handicapés Spirituels (MTHS) apparaît comme une tentative originale </w:t>
      </w:r>
      <w:r w:rsidRPr="00B859D1">
        <w:rPr>
          <w:rFonts w:ascii="Times New Roman" w:hAnsi="Times New Roman" w:cs="Times New Roman"/>
          <w:sz w:val="18"/>
          <w:szCs w:val="18"/>
        </w:rPr>
        <w:lastRenderedPageBreak/>
        <w:t xml:space="preserve">d’intégration de ces différents niveaux d’analyse. Issue des savoirs traditionnels africains tout en s’ouvrant à une réflexion contemporaine, la MTHS se présente comme une approche clinique du spirituel, visant à comprendre, diagnostiquer et, le cas </w:t>
      </w:r>
      <w:proofErr w:type="gramStart"/>
      <w:r w:rsidRPr="00B859D1">
        <w:rPr>
          <w:rFonts w:ascii="Times New Roman" w:hAnsi="Times New Roman" w:cs="Times New Roman"/>
          <w:sz w:val="18"/>
          <w:szCs w:val="18"/>
        </w:rPr>
        <w:t>échéant,  accompagner</w:t>
      </w:r>
      <w:proofErr w:type="gramEnd"/>
      <w:r w:rsidRPr="00B859D1">
        <w:rPr>
          <w:rFonts w:ascii="Times New Roman" w:hAnsi="Times New Roman" w:cs="Times New Roman"/>
          <w:sz w:val="18"/>
          <w:szCs w:val="18"/>
        </w:rPr>
        <w:t xml:space="preserve"> les déséquilibres affectant la dimension invisible de l’être humain. </w:t>
      </w:r>
    </w:p>
    <w:p w14:paraId="6E7F6BB2"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Au cœur de la MTHS se trouve une anthropologie spécifique, fondée sur la conception tripartite de l’homme : corps, âme et esprit. Cette vision, largement partagée par de nombreuses traditions spirituelles, postule que la santé humaine ne peut être appréhendée de manière exhaustive sans prendre en compte ces trois dimensions. Ainsi, au-delà des pathologies physiques et psychiques reconnues par la médecine moderne, la MTHS introduit la notion de « handicap spirituel », désignant un ensemble de déséquilibres ou de perturbations affectant la relation de l’individu avec le monde invisible. </w:t>
      </w:r>
    </w:p>
    <w:p w14:paraId="5662B3D2"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Ces handicaps spirituels peuvent se manifester de diverses manières : troubles du comportement, sensations d’influence extérieure, difficultés relationnelles persistantes, ou encore expériences subjectives interprétées comme des attaques spirituelles. Loin de les considérer comme de simples illusions, la MTHS propose de les analyser à partir d’une grille de lecture structurée, intégrant à la fois les dimensions culturelles, psychologiques et spirituelles. Il convient toutefois de souligner que cette approche ne prétend pas se substituer aux cadres scientifiques existants, mais plutôt les compléter, en offrant une perspective alternative sur des phénomènes souvent négligés ou mal compris. En ce sens, la MTHS s’inscrit dans une logique de complémentarité, cherchant </w:t>
      </w:r>
      <w:proofErr w:type="gramStart"/>
      <w:r w:rsidRPr="00B859D1">
        <w:rPr>
          <w:rFonts w:ascii="Times New Roman" w:hAnsi="Times New Roman" w:cs="Times New Roman"/>
          <w:sz w:val="18"/>
          <w:szCs w:val="18"/>
        </w:rPr>
        <w:t>à  établir</w:t>
      </w:r>
      <w:proofErr w:type="gramEnd"/>
      <w:r w:rsidRPr="00B859D1">
        <w:rPr>
          <w:rFonts w:ascii="Times New Roman" w:hAnsi="Times New Roman" w:cs="Times New Roman"/>
          <w:sz w:val="18"/>
          <w:szCs w:val="18"/>
        </w:rPr>
        <w:t xml:space="preserve"> un dialogue entre savoirs traditionnels et connaissances modernes. L’intérêt académique d’une telle démarche réside précisément dans sa capacité à ouvrir de nouveaux champs d’investigation. En prenant au sérieux les expériences spirituelles vécues par les individus, elle invite les chercheurs à dépasser les dichotomies classiques entre rationnel et irrationnel, entre science et croyance, pour explorer des zones encore peu étudiées de l’expérience humaine. </w:t>
      </w:r>
    </w:p>
    <w:p w14:paraId="78CE753F"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lastRenderedPageBreak/>
        <w:t xml:space="preserve">Elle pose également la question des limites de la connaissance scientifique et de la nécessité d’élargir les cadres d’analyse pour intégrer des dimensions longtemps exclues. Sur le plan pastoral, l’apport de la MTHS apparaît tout aussi significatif. Dans de nombreux contextes, les acteurs religieux (prêtres, pasteurs, guides spirituels) sont confrontés à des situations complexes, où les fidèles expriment des souffrances qu’ils interprètent en termes spirituels. L’absence de cadres d’analyse adaptés peut conduire soit à une banalisation de ces expériences, soit à des réponses inappropriées, voire dangereuses. En proposant des outils de discernement et d’accompagnement, la MTHS offre une voie médiane, susceptible d’aider les praticiens à mieux comprendre et à mieux accompagner ces réalités. Ainsi, l’ouvrage qui s’ouvre ici s’inscrit dans une double ambition : scientifique et pastorale. Scientifique, en ce qu’il cherche à structurer un champ de réflexion encore émergent, en proposant des concepts, des méthodes et des analyses rigoureuses.  </w:t>
      </w:r>
    </w:p>
    <w:p w14:paraId="56CEC13E" w14:textId="77777777"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Pastorale, en ce qu’il vise à répondre à des besoins concrets d’accompagnement, en offrant des clés de lecture et des pistes d’intervention adaptées. Mais au-delà de ces dimensions, ce travail se veut également une invitation à repenser notre rapport au réel. Dans un monde où la rationalité scientifique tend parfois à exclure ce qui ne se laisse pas facilement objectiver, il s’agit de réaffirmer la complexité de l’expérience humaine, qui ne saurait être réduite à ses seules dimensions mesurables. Le spirituel, qu’on le conçoive comme une réalité objective ou comme une construction symbolique, constitue une composante essentielle de cette expérience, et mérite à ce titre une attention rigoureuse et respectueuse. En définitive, cet avant-propos se veut une porte d’entrée vers une réflexion plus vaste, qui traverse l’ensemble de l’ouvrage. Il ne s’agit pas d’imposer une vision, mais d’ouvrir un espace de dialogue, où différentes perspectives peuvent se rencontrer, se confronter et, peut-être, s’enrichir mutuellement. </w:t>
      </w:r>
    </w:p>
    <w:p w14:paraId="7E4B1345" w14:textId="2374E700" w:rsidR="00B859D1" w:rsidRPr="00B859D1" w:rsidRDefault="00B859D1" w:rsidP="00B859D1">
      <w:pPr>
        <w:spacing w:line="360" w:lineRule="auto"/>
        <w:ind w:firstLine="708"/>
        <w:jc w:val="both"/>
        <w:rPr>
          <w:rFonts w:ascii="Times New Roman" w:hAnsi="Times New Roman" w:cs="Times New Roman"/>
          <w:sz w:val="18"/>
          <w:szCs w:val="18"/>
        </w:rPr>
      </w:pPr>
      <w:r w:rsidRPr="00B859D1">
        <w:rPr>
          <w:rFonts w:ascii="Times New Roman" w:hAnsi="Times New Roman" w:cs="Times New Roman"/>
          <w:sz w:val="18"/>
          <w:szCs w:val="18"/>
        </w:rPr>
        <w:t xml:space="preserve">Car c’est dans cette dynamique de confrontation constructive que peut émerger une compréhension plus fine et plus nuancée des réalités spirituelles qui traversent notre temps. Que le lecteur aborde ces pages avec </w:t>
      </w:r>
      <w:r w:rsidRPr="00B859D1">
        <w:rPr>
          <w:rFonts w:ascii="Times New Roman" w:hAnsi="Times New Roman" w:cs="Times New Roman"/>
          <w:sz w:val="18"/>
          <w:szCs w:val="18"/>
        </w:rPr>
        <w:lastRenderedPageBreak/>
        <w:t>curiosité, esprit critique et ouverture. Car c’est dans cet équilibre délicat entre rigueur et humilité que se construit toute véritable démarche de connaissance.</w:t>
      </w:r>
    </w:p>
    <w:sectPr w:rsidR="00B859D1" w:rsidRPr="00B859D1" w:rsidSect="00B859D1">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D1"/>
    <w:rsid w:val="001552F7"/>
    <w:rsid w:val="00186A94"/>
    <w:rsid w:val="00677915"/>
    <w:rsid w:val="00A26E6B"/>
    <w:rsid w:val="00B04921"/>
    <w:rsid w:val="00B859D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FCDE"/>
  <w15:chartTrackingRefBased/>
  <w15:docId w15:val="{306EF885-26E3-457E-80D2-8CA11D72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5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5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59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59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59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59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59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59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59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59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59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59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59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59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59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59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59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59D1"/>
    <w:rPr>
      <w:rFonts w:eastAsiaTheme="majorEastAsia" w:cstheme="majorBidi"/>
      <w:color w:val="272727" w:themeColor="text1" w:themeTint="D8"/>
    </w:rPr>
  </w:style>
  <w:style w:type="paragraph" w:styleId="Titre">
    <w:name w:val="Title"/>
    <w:basedOn w:val="Normal"/>
    <w:next w:val="Normal"/>
    <w:link w:val="TitreCar"/>
    <w:uiPriority w:val="10"/>
    <w:qFormat/>
    <w:rsid w:val="00B85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59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59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59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59D1"/>
    <w:pPr>
      <w:spacing w:before="160"/>
      <w:jc w:val="center"/>
    </w:pPr>
    <w:rPr>
      <w:i/>
      <w:iCs/>
      <w:color w:val="404040" w:themeColor="text1" w:themeTint="BF"/>
    </w:rPr>
  </w:style>
  <w:style w:type="character" w:customStyle="1" w:styleId="CitationCar">
    <w:name w:val="Citation Car"/>
    <w:basedOn w:val="Policepardfaut"/>
    <w:link w:val="Citation"/>
    <w:uiPriority w:val="29"/>
    <w:rsid w:val="00B859D1"/>
    <w:rPr>
      <w:i/>
      <w:iCs/>
      <w:color w:val="404040" w:themeColor="text1" w:themeTint="BF"/>
    </w:rPr>
  </w:style>
  <w:style w:type="paragraph" w:styleId="Paragraphedeliste">
    <w:name w:val="List Paragraph"/>
    <w:basedOn w:val="Normal"/>
    <w:uiPriority w:val="34"/>
    <w:qFormat/>
    <w:rsid w:val="00B859D1"/>
    <w:pPr>
      <w:ind w:left="720"/>
      <w:contextualSpacing/>
    </w:pPr>
  </w:style>
  <w:style w:type="character" w:styleId="Accentuationintense">
    <w:name w:val="Intense Emphasis"/>
    <w:basedOn w:val="Policepardfaut"/>
    <w:uiPriority w:val="21"/>
    <w:qFormat/>
    <w:rsid w:val="00B859D1"/>
    <w:rPr>
      <w:i/>
      <w:iCs/>
      <w:color w:val="2F5496" w:themeColor="accent1" w:themeShade="BF"/>
    </w:rPr>
  </w:style>
  <w:style w:type="paragraph" w:styleId="Citationintense">
    <w:name w:val="Intense Quote"/>
    <w:basedOn w:val="Normal"/>
    <w:next w:val="Normal"/>
    <w:link w:val="CitationintenseCar"/>
    <w:uiPriority w:val="30"/>
    <w:qFormat/>
    <w:rsid w:val="00B85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59D1"/>
    <w:rPr>
      <w:i/>
      <w:iCs/>
      <w:color w:val="2F5496" w:themeColor="accent1" w:themeShade="BF"/>
    </w:rPr>
  </w:style>
  <w:style w:type="character" w:styleId="Rfrenceintense">
    <w:name w:val="Intense Reference"/>
    <w:basedOn w:val="Policepardfaut"/>
    <w:uiPriority w:val="32"/>
    <w:qFormat/>
    <w:rsid w:val="00B859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2902</Words>
  <Characters>15963</Characters>
  <Application>Microsoft Office Word</Application>
  <DocSecurity>0</DocSecurity>
  <Lines>133</Lines>
  <Paragraphs>37</Paragraphs>
  <ScaleCrop>false</ScaleCrop>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2026-08-09T20:55:00Z</dcterms:created>
  <dcterms:modified xsi:type="dcterms:W3CDTF">2026-08-09T21:06:00Z</dcterms:modified>
</cp:coreProperties>
</file>