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C771" w14:textId="77777777" w:rsidR="004B2CBE" w:rsidRPr="004B2CBE" w:rsidRDefault="004B2CBE" w:rsidP="004B2CBE">
      <w:pPr>
        <w:spacing w:line="360" w:lineRule="auto"/>
        <w:jc w:val="both"/>
        <w:rPr>
          <w:rFonts w:ascii="Times New Roman" w:hAnsi="Times New Roman" w:cs="Times New Roman"/>
          <w:sz w:val="18"/>
          <w:szCs w:val="18"/>
        </w:rPr>
      </w:pPr>
    </w:p>
    <w:p w14:paraId="23582D12" w14:textId="77777777" w:rsidR="004B2CBE" w:rsidRPr="004B2CBE" w:rsidRDefault="004B2CBE" w:rsidP="004B2CBE">
      <w:pPr>
        <w:spacing w:line="360" w:lineRule="auto"/>
        <w:jc w:val="both"/>
        <w:rPr>
          <w:rFonts w:ascii="Times New Roman" w:hAnsi="Times New Roman" w:cs="Times New Roman"/>
          <w:sz w:val="18"/>
          <w:szCs w:val="18"/>
        </w:rPr>
      </w:pPr>
    </w:p>
    <w:p w14:paraId="2AA1900D" w14:textId="77777777" w:rsidR="004B2CBE" w:rsidRPr="004B2CBE" w:rsidRDefault="004B2CBE" w:rsidP="004B2CBE">
      <w:pPr>
        <w:spacing w:line="360" w:lineRule="auto"/>
        <w:jc w:val="both"/>
        <w:rPr>
          <w:rFonts w:ascii="Times New Roman" w:hAnsi="Times New Roman" w:cs="Times New Roman"/>
          <w:sz w:val="18"/>
          <w:szCs w:val="18"/>
        </w:rPr>
      </w:pPr>
    </w:p>
    <w:p w14:paraId="4EA7780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BOUDDHISME FACE À LA SORCELLERIE ET AU SATANISME </w:t>
      </w:r>
    </w:p>
    <w:p w14:paraId="2F9DD06A" w14:textId="13200689" w:rsidR="00186A94"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Approche clinique de la Médecine Traditionnelle des Handicapés Spirituels (MTHS)</w:t>
      </w:r>
    </w:p>
    <w:p w14:paraId="4D2A2ECD" w14:textId="665239C6"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br w:type="page"/>
      </w:r>
    </w:p>
    <w:p w14:paraId="7B7F4FD2" w14:textId="5A61D0CE"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t>LES CLÉFS DU SUCCÈS DE L’ÉCOLE DU FUTUR</w:t>
      </w:r>
    </w:p>
    <w:p w14:paraId="75EC6174"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6CA63599"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4B2CBE">
        <w:rPr>
          <w:rFonts w:ascii="Times New Roman" w:hAnsi="Times New Roman" w:cs="Times New Roman"/>
          <w:sz w:val="18"/>
          <w:szCs w:val="18"/>
        </w:rPr>
        <w:t>des cinq continent</w:t>
      </w:r>
      <w:proofErr w:type="gramEnd"/>
      <w:r w:rsidRPr="004B2CBE">
        <w:rPr>
          <w:rFonts w:ascii="Times New Roman" w:hAnsi="Times New Roman" w:cs="Times New Roman"/>
          <w:sz w:val="18"/>
          <w:szCs w:val="18"/>
        </w:rPr>
        <w:t xml:space="preserve"> de la Planète Terre. </w:t>
      </w:r>
    </w:p>
    <w:p w14:paraId="59BC1590"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100D2636" w14:textId="637FA05C"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22A0981D"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4B2CBE">
        <w:rPr>
          <w:rFonts w:ascii="Times New Roman" w:hAnsi="Times New Roman" w:cs="Times New Roman"/>
          <w:sz w:val="18"/>
          <w:szCs w:val="18"/>
        </w:rPr>
        <w:t>sacerdoce;</w:t>
      </w:r>
      <w:proofErr w:type="gramEnd"/>
      <w:r w:rsidRPr="004B2CBE">
        <w:rPr>
          <w:rFonts w:ascii="Times New Roman" w:hAnsi="Times New Roman" w:cs="Times New Roman"/>
          <w:sz w:val="18"/>
          <w:szCs w:val="18"/>
        </w:rPr>
        <w:t xml:space="preserve"> Puisque tu as oublié la loi de ton Dieu, J'oublierai aussi tes enfants » (OSEE 4.6). </w:t>
      </w:r>
    </w:p>
    <w:p w14:paraId="240A8E1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NOTRE METHODE DE TRANSFORMATION : « </w:t>
      </w:r>
      <w:proofErr w:type="gramStart"/>
      <w:r w:rsidRPr="004B2CBE">
        <w:rPr>
          <w:rFonts w:ascii="Times New Roman" w:hAnsi="Times New Roman" w:cs="Times New Roman"/>
          <w:sz w:val="18"/>
          <w:szCs w:val="18"/>
        </w:rPr>
        <w:t>Homme!!!</w:t>
      </w:r>
      <w:proofErr w:type="gramEnd"/>
      <w:r w:rsidRPr="004B2CBE">
        <w:rPr>
          <w:rFonts w:ascii="Times New Roman" w:hAnsi="Times New Roman" w:cs="Times New Roman"/>
          <w:sz w:val="18"/>
          <w:szCs w:val="18"/>
        </w:rPr>
        <w:t xml:space="preserve"> connais-toi d'abord spirituellement toi-</w:t>
      </w:r>
      <w:proofErr w:type="gramStart"/>
      <w:r w:rsidRPr="004B2CBE">
        <w:rPr>
          <w:rFonts w:ascii="Times New Roman" w:hAnsi="Times New Roman" w:cs="Times New Roman"/>
          <w:sz w:val="18"/>
          <w:szCs w:val="18"/>
        </w:rPr>
        <w:t>même;</w:t>
      </w:r>
      <w:proofErr w:type="gramEnd"/>
      <w:r w:rsidRPr="004B2CBE">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386A31D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75B37EC4" w14:textId="2AD49523" w:rsidR="004B2CBE" w:rsidRPr="004B2CBE" w:rsidRDefault="004B2CBE" w:rsidP="004B2CBE">
      <w:pPr>
        <w:spacing w:line="360" w:lineRule="auto"/>
        <w:ind w:left="708" w:firstLine="708"/>
        <w:jc w:val="both"/>
        <w:rPr>
          <w:rFonts w:ascii="Times New Roman" w:hAnsi="Times New Roman" w:cs="Times New Roman"/>
          <w:sz w:val="18"/>
          <w:szCs w:val="18"/>
        </w:rPr>
      </w:pPr>
      <w:r w:rsidRPr="004B2CBE">
        <w:rPr>
          <w:rFonts w:ascii="Times New Roman" w:hAnsi="Times New Roman" w:cs="Times New Roman"/>
          <w:sz w:val="18"/>
          <w:szCs w:val="18"/>
        </w:rPr>
        <w:t>(Jean Paul Sylvain SIDA ABENA)</w:t>
      </w:r>
    </w:p>
    <w:p w14:paraId="6656F8A0" w14:textId="318D067D"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br w:type="page"/>
      </w:r>
    </w:p>
    <w:p w14:paraId="0A3EC6A0" w14:textId="2C1C5E78"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lastRenderedPageBreak/>
        <w:t>SOMMAIRE</w:t>
      </w:r>
    </w:p>
    <w:p w14:paraId="75C0B6A3"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Préface…………………………………………………</w:t>
      </w:r>
      <w:proofErr w:type="gramStart"/>
      <w:r w:rsidRPr="004B2CBE">
        <w:rPr>
          <w:rFonts w:ascii="Times New Roman" w:hAnsi="Times New Roman" w:cs="Times New Roman"/>
          <w:sz w:val="18"/>
          <w:szCs w:val="18"/>
        </w:rPr>
        <w:t>…….</w:t>
      </w:r>
      <w:proofErr w:type="gramEnd"/>
      <w:r w:rsidRPr="004B2CBE">
        <w:rPr>
          <w:rFonts w:ascii="Times New Roman" w:hAnsi="Times New Roman" w:cs="Times New Roman"/>
          <w:sz w:val="18"/>
          <w:szCs w:val="18"/>
        </w:rPr>
        <w:t>.</w:t>
      </w:r>
      <w:proofErr w:type="gramStart"/>
      <w:r w:rsidRPr="004B2CBE">
        <w:rPr>
          <w:rFonts w:ascii="Times New Roman" w:hAnsi="Times New Roman" w:cs="Times New Roman"/>
          <w:sz w:val="18"/>
          <w:szCs w:val="18"/>
        </w:rPr>
        <w:t>…….</w:t>
      </w:r>
      <w:proofErr w:type="gramEnd"/>
      <w:r w:rsidRPr="004B2CBE">
        <w:rPr>
          <w:rFonts w:ascii="Times New Roman" w:hAnsi="Times New Roman" w:cs="Times New Roman"/>
          <w:sz w:val="18"/>
          <w:szCs w:val="18"/>
        </w:rPr>
        <w:t xml:space="preserve">.P.13 </w:t>
      </w:r>
    </w:p>
    <w:p w14:paraId="0834B4C8"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Avant-propos…………………………………………………</w:t>
      </w:r>
      <w:proofErr w:type="gramStart"/>
      <w:r w:rsidRPr="004B2CBE">
        <w:rPr>
          <w:rFonts w:ascii="Times New Roman" w:hAnsi="Times New Roman" w:cs="Times New Roman"/>
          <w:sz w:val="18"/>
          <w:szCs w:val="18"/>
        </w:rPr>
        <w:t>…….</w:t>
      </w:r>
      <w:proofErr w:type="gramEnd"/>
      <w:r w:rsidRPr="004B2CBE">
        <w:rPr>
          <w:rFonts w:ascii="Times New Roman" w:hAnsi="Times New Roman" w:cs="Times New Roman"/>
          <w:sz w:val="18"/>
          <w:szCs w:val="18"/>
        </w:rPr>
        <w:t xml:space="preserve">P.21 </w:t>
      </w:r>
    </w:p>
    <w:p w14:paraId="73D30BDE"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INTRODUCTION PARTIE I – FONDEMENTS HISTORIQUES ET DOCTRINAUX </w:t>
      </w:r>
    </w:p>
    <w:p w14:paraId="4CD2E05B"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1 – Origines et fondements du bouddhisme </w:t>
      </w:r>
    </w:p>
    <w:p w14:paraId="05EE4C4A"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2 – Cosmologie bouddhique et monde invisible </w:t>
      </w:r>
    </w:p>
    <w:p w14:paraId="46329A9C"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3 – Sorcellerie : approche anthropologique et spirituelle </w:t>
      </w:r>
    </w:p>
    <w:p w14:paraId="3713321C"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4 – Genèse historique et idéologique du satanisme </w:t>
      </w:r>
    </w:p>
    <w:p w14:paraId="2C488DB3"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PARTIE II – ANALYSE COMPARATIVE DES SYSTÈMES SPIRITUELS </w:t>
      </w:r>
    </w:p>
    <w:p w14:paraId="62355E14"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5 – Le mal : illusion, entité ou système ? </w:t>
      </w:r>
    </w:p>
    <w:p w14:paraId="737FC4FD"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6 – Puissance spirituelle et manipulation des forces invisibles </w:t>
      </w:r>
    </w:p>
    <w:p w14:paraId="47DE6C7A"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7 – Karma, fatalité et responsabilité </w:t>
      </w:r>
    </w:p>
    <w:p w14:paraId="496E97DB"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PARTIE III – APPROCHE CLINIQUE DE LA MTHS </w:t>
      </w:r>
    </w:p>
    <w:p w14:paraId="3667FF9E"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8 – Définition clinique du handicap spirituel </w:t>
      </w:r>
    </w:p>
    <w:p w14:paraId="235217B4"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9 – Études de cas comparatives </w:t>
      </w:r>
    </w:p>
    <w:p w14:paraId="609F06FE" w14:textId="4CB21E62"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10 – Discernement thérapeutique  </w:t>
      </w:r>
    </w:p>
    <w:p w14:paraId="25CA2456"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PARTIE IV – DISCUSSION THÉOLOGIQUE, ÉPISTÉMOLOGIQUE ET SOCIOCULTURELLE </w:t>
      </w:r>
    </w:p>
    <w:p w14:paraId="052FF8F1"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11 – Neutralité ou ambiguïté du bouddhisme face au satanisme </w:t>
      </w:r>
    </w:p>
    <w:p w14:paraId="3DE5367C"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12 – Dialogue interreligieux ou confrontation spirituelle ? </w:t>
      </w:r>
    </w:p>
    <w:p w14:paraId="3BBA9286"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13 – Spiritualité, santé mentale et société africaine </w:t>
      </w:r>
    </w:p>
    <w:p w14:paraId="6C7AE36C"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lastRenderedPageBreak/>
        <w:t xml:space="preserve">PARTIE V – PROPOSITION THÉRAPEUTIQUE ET PERSPECTIVES </w:t>
      </w:r>
    </w:p>
    <w:p w14:paraId="0C40AE63"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Chapitre-14- MĀRA VS SATAN </w:t>
      </w:r>
    </w:p>
    <w:p w14:paraId="3C56FC5A" w14:textId="7777777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 xml:space="preserve">Chapitre 15– La MTHS comme modèle clinique africain Chapitre 16 – Éthique du discernement spirituel </w:t>
      </w:r>
    </w:p>
    <w:p w14:paraId="3C5E9CBC" w14:textId="286EC3B7"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t>CONCLUSION</w:t>
      </w:r>
    </w:p>
    <w:p w14:paraId="78081C5D" w14:textId="6A35050F"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br w:type="page"/>
      </w:r>
    </w:p>
    <w:p w14:paraId="0F0FF23C" w14:textId="1B6738BA"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lastRenderedPageBreak/>
        <w:t>PREFACE</w:t>
      </w:r>
    </w:p>
    <w:p w14:paraId="4FA8D9C6" w14:textId="63A66ECC"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Depuis les origines, l’homme a cherché à comprendre le mal qui le frappe. Parfois invisible, souvent insaisissable, il se manifeste sous des formes multiples : l’agression psychologique, la malédiction, la manipulation occulte, et dans certaines traditions, comme le satanisme ou la sorcellerie. Ces phénomènes, qui échappent souvent à la rationalité scientifique, restent néanmoins profondément réels pour ceux qui les vivent. Dans ce contexte, le bouddhisme, avec son approche de l’esprit et de l’illusion, offre une perspective singulière. Mais cette perspective, aussi profonde soit-elle, est-elle suffisante face à des réalités spirituelles manifestes, des agressions extérieures et des pratiques occultes qui détruisent des vies ? Le présent ouvrage, “LE BOUDDHISME FACE À LA SORCELLERIE ET AU SATANISME”, explore ces questions avec rigueur, audace et esprit critique. Il ne se contente pas d’une approche philosophique ou contemplative : il engage une réflexion clinique, comparative et spirituelle, confrontant le bouddhisme, le christianisme et les réalités africaines contemporaines. Il s’agit de comprendre non seulement la nature du mal, mais aussi comment le discerner, le combattre et s’en protéger.  </w:t>
      </w:r>
    </w:p>
    <w:p w14:paraId="1E3970BB"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 MARA ET SATAN : DEUX VISIONS DU MAL </w:t>
      </w:r>
    </w:p>
    <w:p w14:paraId="001E39E5"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bouddhisme présente la figure de Māra, tentateur du Bouddha, personnification de l’illusion, des passions et de l’attachement. Māra n’est pas un adversaire extérieur au sens occidental ; il n’est ni agent moral autonome ni entité démoniaque capable de conspirer contre l’homme. Il symbolise les obstacles intérieurs à l’éveil, les illusions que l’esprit humain se crée et les forces psychiques qui détournent l’homme de la lucidité. Dans le christianisme, Satan occupe une place radicalement différente. Il est un adversaire réel, doté d’intention, de volonté et de stratégie. Il séduit, tente, manipule, accuse et influence l’homme. Les textes bibliques ne le présentent pas comme une abstraction psychologique, mais comme une entité spirituelle ayant la capacité d’agir sur le monde. Jésus lui-même est confronté à cette adversité et doit y répondre par la Parole et la fidélité. Cette distinction est </w:t>
      </w:r>
      <w:r w:rsidRPr="004B2CBE">
        <w:rPr>
          <w:rFonts w:ascii="Times New Roman" w:hAnsi="Times New Roman" w:cs="Times New Roman"/>
          <w:sz w:val="18"/>
          <w:szCs w:val="18"/>
        </w:rPr>
        <w:lastRenderedPageBreak/>
        <w:t xml:space="preserve">essentielle. Elle met en lumière une tension majeure pour quiconque souhaite analyser le mal dans une perspective pratique et spirituelle : le mal peut être intérieur ou extérieur, symbolique ou concret, illusion ou adversité réelle. Ignorer l’une de ces dimensions, c’est réduire l’expérience humaine à une seule perspective et risquer de perdre le discernement. </w:t>
      </w:r>
    </w:p>
    <w:p w14:paraId="77AC2DB0"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II. LA SORCELLERIE ET LE SATANISME : REALITES CONCRETES </w:t>
      </w:r>
    </w:p>
    <w:p w14:paraId="621EC3C3" w14:textId="5148FA03"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Dans de nombreux contextes africains et modernes, la sorcellerie et le satanisme ne sont pas des abstractions. Les victimes rapportent des expériences précises : </w:t>
      </w:r>
    </w:p>
    <w:p w14:paraId="7490084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mariages</w:t>
      </w:r>
      <w:proofErr w:type="gramEnd"/>
      <w:r w:rsidRPr="004B2CBE">
        <w:rPr>
          <w:rFonts w:ascii="Times New Roman" w:hAnsi="Times New Roman" w:cs="Times New Roman"/>
          <w:sz w:val="18"/>
          <w:szCs w:val="18"/>
        </w:rPr>
        <w:t xml:space="preserve"> spirituels imposés, </w:t>
      </w:r>
    </w:p>
    <w:p w14:paraId="411776B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pactes</w:t>
      </w:r>
      <w:proofErr w:type="gramEnd"/>
      <w:r w:rsidRPr="004B2CBE">
        <w:rPr>
          <w:rFonts w:ascii="Times New Roman" w:hAnsi="Times New Roman" w:cs="Times New Roman"/>
          <w:sz w:val="18"/>
          <w:szCs w:val="18"/>
        </w:rPr>
        <w:t xml:space="preserve"> occultes transmis par des ancêtres ou des initiés, </w:t>
      </w:r>
    </w:p>
    <w:p w14:paraId="088EF712"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attaques</w:t>
      </w:r>
      <w:proofErr w:type="gramEnd"/>
      <w:r w:rsidRPr="004B2CBE">
        <w:rPr>
          <w:rFonts w:ascii="Times New Roman" w:hAnsi="Times New Roman" w:cs="Times New Roman"/>
          <w:sz w:val="18"/>
          <w:szCs w:val="18"/>
        </w:rPr>
        <w:t xml:space="preserve"> nocturnes récurrentes, cauchemars ou visions imposées, </w:t>
      </w:r>
    </w:p>
    <w:p w14:paraId="45F44D2B"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maladies</w:t>
      </w:r>
      <w:proofErr w:type="gramEnd"/>
      <w:r w:rsidRPr="004B2CBE">
        <w:rPr>
          <w:rFonts w:ascii="Times New Roman" w:hAnsi="Times New Roman" w:cs="Times New Roman"/>
          <w:sz w:val="18"/>
          <w:szCs w:val="18"/>
        </w:rPr>
        <w:t xml:space="preserve"> inexpliquées d’origine spirituelle. Pour ces personnes, il est impossible de réduire le phénomène à un simple désordre psychologique ou à une illusion. </w:t>
      </w:r>
    </w:p>
    <w:p w14:paraId="619E948F"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mal est réel et opérant, souvent ciblé, stratégique et destructeur. Face à ces manifestations, la lecture bouddhiste traditionnelle, centrée sur la maîtrise de l’esprit et la dissolution de l’attachement, paraît insuffisante. Si la lucidité intérieure permet d’échapper à l’illusion, elle ne propose pas de cadre pour affronter l’agression externe ou le pacte occulte. Le risque, pour le praticien ou le rêveur contemporain, est de psychologiser l’inacceptable et de se priver d’outils de protection spirituelle.  </w:t>
      </w:r>
    </w:p>
    <w:p w14:paraId="330309A4"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III. CRITIQUE DE L’APPROCHE BOUDDHISTE FACE AUX AGRESSIONS EXTERIEURES </w:t>
      </w:r>
    </w:p>
    <w:p w14:paraId="29324E0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bouddhisme, en mettant l’accent sur Māra et l’illusion, offre une puissante méthode de protection intérieure. La méditation, le détachement et la discipline mentale sont des outils efficaces pour neutraliser les émotions </w:t>
      </w:r>
      <w:r w:rsidRPr="004B2CBE">
        <w:rPr>
          <w:rFonts w:ascii="Times New Roman" w:hAnsi="Times New Roman" w:cs="Times New Roman"/>
          <w:sz w:val="18"/>
          <w:szCs w:val="18"/>
        </w:rPr>
        <w:lastRenderedPageBreak/>
        <w:t xml:space="preserve">négatives et les illusions. Le pratiquant peut ainsi rester lucide face à ses peurs, à ses désirs et à ses projections mentales. Cependant, cette approche révèle ses limites lorsqu’elle est confrontée à des situations où le mal est personnifié et actif dans le monde. Dans le satanisme, le mal est intentionnel, ciblé et structuré. Dans la sorcellerie, il s’opère à travers des pactes et des rituels qui produisent des effets tangibles sur la vie humaine. La méditation seule, sans discernement et sans intervention extérieure ou rituelle adaptée, ne suffit pas toujours à protéger ou à libérer. Ainsi, si le bouddhisme excelle dans la transformation intérieure, il reste incomplet face aux manifestations de mal externes et intentionnelles. Cette critique n’est pas une condamnation de la philosophie bouddhiste, mais un constat : le monde extérieur existe et le mal s’y manifeste de manière active.  </w:t>
      </w:r>
    </w:p>
    <w:p w14:paraId="3263539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IV. L’APPORT DU CHRISTIANISME : CONFRONTATION DIRECTE ET DISCERNEMENT </w:t>
      </w:r>
    </w:p>
    <w:p w14:paraId="129CB3F3"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christianisme, à travers la figure de Satan, offre un cadre pour comprendre et affronter le mal extérieur. Satan est réel, actif et potentiellement destructeur. La théologie chrétienne propose des moyens concrets de lutte : prière, sacrements, exorcismes, discernement communautaire. Cette perspective complète l’approche bouddhiste en introduisant la dimension relationnelle et proactive dans la confrontation avec le mal. Le livre montre que, pour faire face à la sorcellerie et au satanisme, une approche intégrative est nécessaire. Le discernement intérieur offert par le bouddhisme doit être complété par la vigilance, la protection et l’action spirituelle proposées par le christianisme. Cette double approche permet d’éviter deux écueils : la naïveté (penser que tout est illusion) et la paranoïa (penser que tout est mal). </w:t>
      </w:r>
    </w:p>
    <w:p w14:paraId="2478640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V. LA DIMENSION AFRICAINE ET CONTEMPORAINE </w:t>
      </w:r>
    </w:p>
    <w:p w14:paraId="7CEEA325"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Dans les sociétés africaines contemporaines, les expériences de sorcellerie et de satanisme sont souvent liées à :</w:t>
      </w:r>
    </w:p>
    <w:p w14:paraId="15023CA3"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 </w:t>
      </w: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des</w:t>
      </w:r>
      <w:proofErr w:type="gramEnd"/>
      <w:r w:rsidRPr="004B2CBE">
        <w:rPr>
          <w:rFonts w:ascii="Times New Roman" w:hAnsi="Times New Roman" w:cs="Times New Roman"/>
          <w:sz w:val="18"/>
          <w:szCs w:val="18"/>
        </w:rPr>
        <w:t xml:space="preserve"> pratiques ancestrales, </w:t>
      </w:r>
    </w:p>
    <w:p w14:paraId="672E48E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des</w:t>
      </w:r>
      <w:proofErr w:type="gramEnd"/>
      <w:r w:rsidRPr="004B2CBE">
        <w:rPr>
          <w:rFonts w:ascii="Times New Roman" w:hAnsi="Times New Roman" w:cs="Times New Roman"/>
          <w:sz w:val="18"/>
          <w:szCs w:val="18"/>
        </w:rPr>
        <w:t xml:space="preserve"> rituels communautaires, </w:t>
      </w:r>
    </w:p>
    <w:p w14:paraId="748F7693"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des</w:t>
      </w:r>
      <w:proofErr w:type="gramEnd"/>
      <w:r w:rsidRPr="004B2CBE">
        <w:rPr>
          <w:rFonts w:ascii="Times New Roman" w:hAnsi="Times New Roman" w:cs="Times New Roman"/>
          <w:sz w:val="18"/>
          <w:szCs w:val="18"/>
        </w:rPr>
        <w:t xml:space="preserve"> enjeux sociaux et économiques,</w:t>
      </w:r>
    </w:p>
    <w:p w14:paraId="4490E06A"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 </w:t>
      </w: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des</w:t>
      </w:r>
      <w:proofErr w:type="gramEnd"/>
      <w:r w:rsidRPr="004B2CBE">
        <w:rPr>
          <w:rFonts w:ascii="Times New Roman" w:hAnsi="Times New Roman" w:cs="Times New Roman"/>
          <w:sz w:val="18"/>
          <w:szCs w:val="18"/>
        </w:rPr>
        <w:t xml:space="preserve"> conflits familiaux ou de pouvoir.  </w:t>
      </w:r>
    </w:p>
    <w:p w14:paraId="20D4F390"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Ces dimensions rendent le problème plus complexe que ce que l’approche bouddhiste ou chrétienne classique peut appréhender seule. Le mal n’est pas seulement psychologique, ni seulement spirituel : il est social, rituel et personnel à la fois. Le présent ouvrage se veut donc un outil de compréhension et de discernement, capable de naviguer entre ces différentes dimensions, de reconnaître la réalité des agressions et de proposer des méthodes de protection et de libération adaptées à chaque contexte. </w:t>
      </w:r>
    </w:p>
    <w:p w14:paraId="59E7DFDD"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VI. LA POLEMIQUE CENTRALE : ILLUSION OU ADVERSITE ? </w:t>
      </w:r>
    </w:p>
    <w:p w14:paraId="7573CA3A"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La grande question qui traverse ce livre est celle-ci : le mal est-il uniquement illusion intérieure, ou est-il aussi adversité extérieure ? </w:t>
      </w:r>
    </w:p>
    <w:p w14:paraId="1017268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Réduire Satan à Māra, c’est psychologiser le mal, nier ses manifestations extérieures et sa dangerosité réelle. </w:t>
      </w:r>
    </w:p>
    <w:p w14:paraId="0B6469E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Refuser la dimension intérieure de Māra, c’est externaliser toute responsabilité, accuser le monde plutôt que </w:t>
      </w:r>
      <w:proofErr w:type="spellStart"/>
      <w:r w:rsidRPr="004B2CBE">
        <w:rPr>
          <w:rFonts w:ascii="Times New Roman" w:hAnsi="Times New Roman" w:cs="Times New Roman"/>
          <w:sz w:val="18"/>
          <w:szCs w:val="18"/>
        </w:rPr>
        <w:t>soimême</w:t>
      </w:r>
      <w:proofErr w:type="spellEnd"/>
      <w:r w:rsidRPr="004B2CBE">
        <w:rPr>
          <w:rFonts w:ascii="Times New Roman" w:hAnsi="Times New Roman" w:cs="Times New Roman"/>
          <w:sz w:val="18"/>
          <w:szCs w:val="18"/>
        </w:rPr>
        <w:t xml:space="preserve"> et perdre la maîtrise sur ses passions et illusions. La vérité se situe entre ces deux extrêmes. Le mal est multiniveaux : </w:t>
      </w:r>
    </w:p>
    <w:p w14:paraId="652A9D5F"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1. Intérieur – ignorance, attachement, désir, peur. </w:t>
      </w:r>
    </w:p>
    <w:p w14:paraId="661CBF9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2. Extérieur – influences démoniaques ou occultes, pactes, attaques spirituelles.  </w:t>
      </w:r>
    </w:p>
    <w:p w14:paraId="0242BDF9" w14:textId="1BAD658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3. Social et rituel – conflits, traditions, héritages ancestraux. Le discernement exige de reconnaître chaque niveau et de déployer des réponses adaptées. </w:t>
      </w:r>
    </w:p>
    <w:p w14:paraId="1F07068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VII. LE ROLE DU DISCERNEMENT ET DE LA MTHS</w:t>
      </w:r>
    </w:p>
    <w:p w14:paraId="41EBFF15"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t xml:space="preserve"> L’Approche clinique de la Médecine Traditionnelle des Handicapés Spirituels (MTHS) s’inscrit dans ce cadre intégratif. Elle propose : </w:t>
      </w:r>
    </w:p>
    <w:p w14:paraId="0C513E8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un</w:t>
      </w:r>
      <w:proofErr w:type="gramEnd"/>
      <w:r w:rsidRPr="004B2CBE">
        <w:rPr>
          <w:rFonts w:ascii="Times New Roman" w:hAnsi="Times New Roman" w:cs="Times New Roman"/>
          <w:sz w:val="18"/>
          <w:szCs w:val="18"/>
        </w:rPr>
        <w:t xml:space="preserve"> diagnostic spirituel précis,</w:t>
      </w:r>
    </w:p>
    <w:p w14:paraId="6096C372"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 </w:t>
      </w: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l’identification</w:t>
      </w:r>
      <w:proofErr w:type="gramEnd"/>
      <w:r w:rsidRPr="004B2CBE">
        <w:rPr>
          <w:rFonts w:ascii="Times New Roman" w:hAnsi="Times New Roman" w:cs="Times New Roman"/>
          <w:sz w:val="18"/>
          <w:szCs w:val="18"/>
        </w:rPr>
        <w:t xml:space="preserve"> des influences internes et externes, </w:t>
      </w:r>
    </w:p>
    <w:p w14:paraId="08AC72F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des</w:t>
      </w:r>
      <w:proofErr w:type="gramEnd"/>
      <w:r w:rsidRPr="004B2CBE">
        <w:rPr>
          <w:rFonts w:ascii="Times New Roman" w:hAnsi="Times New Roman" w:cs="Times New Roman"/>
          <w:sz w:val="18"/>
          <w:szCs w:val="18"/>
        </w:rPr>
        <w:t xml:space="preserve"> interventions thérapeutiques adaptées (prières, rituels, conseils communautaires),</w:t>
      </w:r>
    </w:p>
    <w:p w14:paraId="6AA3F317"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 </w:t>
      </w: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w:t>
      </w:r>
      <w:proofErr w:type="gramStart"/>
      <w:r w:rsidRPr="004B2CBE">
        <w:rPr>
          <w:rFonts w:ascii="Times New Roman" w:hAnsi="Times New Roman" w:cs="Times New Roman"/>
          <w:sz w:val="18"/>
          <w:szCs w:val="18"/>
        </w:rPr>
        <w:t>et</w:t>
      </w:r>
      <w:proofErr w:type="gramEnd"/>
      <w:r w:rsidRPr="004B2CBE">
        <w:rPr>
          <w:rFonts w:ascii="Times New Roman" w:hAnsi="Times New Roman" w:cs="Times New Roman"/>
          <w:sz w:val="18"/>
          <w:szCs w:val="18"/>
        </w:rPr>
        <w:t xml:space="preserve"> un accompagnement visant à restaurer l’équilibre psychique, spirituel et social. La MTHS refuse l’excès de rationalisme comme elle refuse la superstition aveugle. Elle offre un chemin de discernement pratique, permettant de naviguer entre illusion et adversité, méditation et action, introspection et protection.</w:t>
      </w:r>
    </w:p>
    <w:p w14:paraId="6F1223B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 VIII. LE DANGER DE L’IGNORANCE ET DE LA NAÏVETE </w:t>
      </w:r>
    </w:p>
    <w:p w14:paraId="073B0A57"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Dans notre société moderne, nombreux sont ceux qui refusent de voir le mal réel, ou qui le réduisent à un problème psychologique. Cette attitude est dangereuse. Elle expose à la manipulation, à la destruction, et à la perte de contrôle sur sa vie spirituelle et sociale.  </w:t>
      </w:r>
    </w:p>
    <w:p w14:paraId="019E7E80"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Ce livre affirme avec force : le mal existe à plusieurs niveaux, et le comprendre exige lucidité, courage et discipline. Ni la contemplation passive, ni l’illusion de sécurité psychologique ne suffisent. Seule une lecture intégrative, combinant les outils bouddhistes et chrétiens, enrichie de la vigilance africaine, permet de discerner, protéger et agir efficacement. </w:t>
      </w:r>
    </w:p>
    <w:p w14:paraId="7B08BA79"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IX. INVITATION AU LECTEUR </w:t>
      </w:r>
    </w:p>
    <w:p w14:paraId="00400EAE" w14:textId="3867A3EE"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lecteur est ici mis au défi : oser regarder le mal en face, sans peur et sans illusion. Oser confronter la sorcellerie, le satanisme et les forces occultes avec discernement et rigueur. Oser comprendre que le mal peut être à la fois intérieur et extérieur, personnel et social, symbolique et réel. Cette préface n’offre pas de réponses toutes faites. Elle propose une posture critique et engagée, un appel à la vigilance et à la responsabilité spirituelle. Elle pose </w:t>
      </w:r>
      <w:r w:rsidRPr="004B2CBE">
        <w:rPr>
          <w:rFonts w:ascii="Times New Roman" w:hAnsi="Times New Roman" w:cs="Times New Roman"/>
          <w:sz w:val="18"/>
          <w:szCs w:val="18"/>
        </w:rPr>
        <w:lastRenderedPageBreak/>
        <w:t>les bases pour une lecture approfondie des chapitres suivants, qui détaillent les outils, méthodes et analyses nécessaires pour comprendre et interpréter le mal dans toutes ses dimensions.</w:t>
      </w:r>
    </w:p>
    <w:p w14:paraId="009BC18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X. CONCLUSION DE LA PREFACE “</w:t>
      </w:r>
    </w:p>
    <w:p w14:paraId="6E169DC0" w14:textId="6035877D"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LE BOUDDHISME FACE À LA SORCELLERIE ET AU SATANISME” n’est pas un manuel abstrait ou un traité philosophique détaché de la vie quotidienne. C’est un guide pratique et spirituel, un instrument de discernement et de protection, qui relie la connaissance intérieure et la connaissance de l’adversité extérieure. Le mal peut être illusion, mais il peut aussi être adversité réelle. Entre Māra et Satan, entre illusion et attaque, entre méditation et action, se joue le destin spirituel de l’homme. Ce livre invite à une lecture lucide, critique et responsable : ni naïve, ni paralysée par la peur, mais active, prudente et profondément éclairée. Oser le lire, c’est oser affronter les ténèbres, discerner la vérité et se préparer à protéger son âme, son esprit et sa vie.</w:t>
      </w:r>
    </w:p>
    <w:p w14:paraId="47344694" w14:textId="3B84827E"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br w:type="page"/>
      </w:r>
    </w:p>
    <w:p w14:paraId="658EF6BC" w14:textId="7549E110"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t>AVANT-PROPOS</w:t>
      </w:r>
    </w:p>
    <w:p w14:paraId="224D5DD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présent ouvrage, Le Bouddhisme face à la Sorcellerie et au Satanisme (Approche clinique de la Médecine Traditionnelle des Handicapés Spirituels – MTHS), naît d’un constat clinique et anthropologique devenu incontournable : dans de nombreuses sociétés contemporaines, les expériences de détresse psychique s’expriment fréquemment dans un langage religieux, symbolique ou spirituel. Les souffrances intérieures se traduisent en récits d’attaques invisibles, d’influences occultes, de pactes spirituels, de malédictions, de forces antagonistes ou de quêtes de purification. Ces récits ne peuvent être ni disqualifiés d’emblée comme simples illusions, ni validés naïvement comme causalités objectives. Ils doivent être compris. </w:t>
      </w:r>
    </w:p>
    <w:p w14:paraId="7C65D3D7"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Et comprendre exige méthode, prudence, et éthique. Cet ouvrage propose précisément cette voie médiane : une approche intégrative, située au croisement de l’anthropologie religieuse, de la psychologie clinique et de la théologie comparative. Il ne s’agit pas de trancher ontologiquement l’existence ou la </w:t>
      </w:r>
      <w:proofErr w:type="spellStart"/>
      <w:r w:rsidRPr="004B2CBE">
        <w:rPr>
          <w:rFonts w:ascii="Times New Roman" w:hAnsi="Times New Roman" w:cs="Times New Roman"/>
          <w:sz w:val="18"/>
          <w:szCs w:val="18"/>
        </w:rPr>
        <w:t>nonexistence</w:t>
      </w:r>
      <w:proofErr w:type="spellEnd"/>
      <w:r w:rsidRPr="004B2CBE">
        <w:rPr>
          <w:rFonts w:ascii="Times New Roman" w:hAnsi="Times New Roman" w:cs="Times New Roman"/>
          <w:sz w:val="18"/>
          <w:szCs w:val="18"/>
        </w:rPr>
        <w:t xml:space="preserve"> des forces invoquées dans les discours spirituels. Il s’agit d’analyser leurs effets, leurs fonctions, leurs dynamiques et leurs conséquences sur la psyché, sur le comportement et sur la vie sociale des personnes concernées. C’est dans ce cadre qu’a été élaborée la Médecine Traditionnelle des Handicapés Spirituels (MTHS), entendue non comme validation d’une ontologie occulte, mais comme dispositif clinique de discernement, d’évaluation et d’accompagnement des vulnérabilités </w:t>
      </w:r>
      <w:proofErr w:type="spellStart"/>
      <w:r w:rsidRPr="004B2CBE">
        <w:rPr>
          <w:rFonts w:ascii="Times New Roman" w:hAnsi="Times New Roman" w:cs="Times New Roman"/>
          <w:sz w:val="18"/>
          <w:szCs w:val="18"/>
        </w:rPr>
        <w:t>psychospirituelles</w:t>
      </w:r>
      <w:proofErr w:type="spellEnd"/>
      <w:r w:rsidRPr="004B2CBE">
        <w:rPr>
          <w:rFonts w:ascii="Times New Roman" w:hAnsi="Times New Roman" w:cs="Times New Roman"/>
          <w:sz w:val="18"/>
          <w:szCs w:val="18"/>
        </w:rPr>
        <w:t xml:space="preserve">. </w:t>
      </w:r>
    </w:p>
    <w:p w14:paraId="784A5787"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 CONTEXTE ANTHROPOLOGIQUE : LA COHABITATION DES SYSTEMES SYMBOLIQUES </w:t>
      </w:r>
    </w:p>
    <w:p w14:paraId="04B99C8E"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Les sociétés contemporaines </w:t>
      </w:r>
      <w:proofErr w:type="gramStart"/>
      <w:r w:rsidRPr="004B2CBE">
        <w:rPr>
          <w:rFonts w:ascii="Times New Roman" w:hAnsi="Times New Roman" w:cs="Times New Roman"/>
          <w:sz w:val="18"/>
          <w:szCs w:val="18"/>
        </w:rPr>
        <w:t>( notamment</w:t>
      </w:r>
      <w:proofErr w:type="gramEnd"/>
      <w:r w:rsidRPr="004B2CBE">
        <w:rPr>
          <w:rFonts w:ascii="Times New Roman" w:hAnsi="Times New Roman" w:cs="Times New Roman"/>
          <w:sz w:val="18"/>
          <w:szCs w:val="18"/>
        </w:rPr>
        <w:t xml:space="preserve"> africaines, mais aussi européennes et diasporiques) sont caractérisées par une superposition de systèmes symboliques. Les traditions ancestrales, les religions monothéistes, les mouvements spirituels asiatiques, les courants ésotériques occidentaux et les philosophies contemporaines coexistent dans un même espace social. Le bouddhisme, issu de l’enseignement de Siddhartha Gautama au Ve siècle </w:t>
      </w:r>
      <w:r w:rsidRPr="004B2CBE">
        <w:rPr>
          <w:rFonts w:ascii="Times New Roman" w:hAnsi="Times New Roman" w:cs="Times New Roman"/>
          <w:sz w:val="18"/>
          <w:szCs w:val="18"/>
        </w:rPr>
        <w:lastRenderedPageBreak/>
        <w:t xml:space="preserve">avant notre ère, s’est progressivement mondialisé. Il propose une voie de libération de la souffrance fondée sur la compréhension de l’impermanence, la méditation et l’éthique personnelle. Dans ses différentes écoles, il met l’accent sur la responsabilité individuelle et la transformation intérieure. Parallèlement, les représentations de la sorcellerie (entendues ici comme systèmes culturels d’explication du malheur par l’action intentionnelle d’autrui) persistent dans de nombreuses communautés. Elles jouent souvent un rôle régulateur, structurant les rapports sociaux, attribuant des causes aux épreuves et fournissant un cadre interprétatif au malheur.  </w:t>
      </w:r>
    </w:p>
    <w:p w14:paraId="20D941C9"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 satanisme, quant à lui, recouvre des réalités hétérogènes : mouvements philosophiques athées, groupes ritualistes marginaux, représentations médiatiques et fantasmes sociaux. Dans les imaginaires collectifs, il symbolise fréquemment la transgression, l’inversion des normes et l’alliance avec des forces antagonistes. Ces systèmes ne sont pas isolés. Ils interagissent, se concurrencent, s’hybrident. Un individu peut simultanément pratiquer la méditation bouddhique, craindre la sorcellerie et interpréter certaines expériences à travers un prisme démonologique hérité d’une tradition chrétienne. Cette complexité symbolique constitue le terrain d’investigation de la MTHS. </w:t>
      </w:r>
    </w:p>
    <w:p w14:paraId="13221582"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II. DIMENSION PSYCHOLOGIQUE ET PSYCHIATRIQUE : LES DETRESSES A CONTENU SPIRITUEL </w:t>
      </w:r>
    </w:p>
    <w:p w14:paraId="17DA9C6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Les sciences psychologiques contemporaines reconnaissent que la détresse mentale s’exprime souvent dans les catégories culturelles disponibles. Les travaux en psychiatrie transculturelle montrent que les hallucinations, les troubles anxieux, les états dissociatifs ou les épisodes psychotiques prennent des formes narratives culturellement codées. Une personne vivant un épisode dépressif majeur peut interpréter son ralentissement psychomoteur comme une « perte d’énergie vitale » causée par une attaque spirituelle. </w:t>
      </w:r>
      <w:proofErr w:type="gramStart"/>
      <w:r w:rsidRPr="004B2CBE">
        <w:rPr>
          <w:rFonts w:ascii="Times New Roman" w:hAnsi="Times New Roman" w:cs="Times New Roman"/>
          <w:sz w:val="18"/>
          <w:szCs w:val="18"/>
        </w:rPr>
        <w:t>Une  dissociation</w:t>
      </w:r>
      <w:proofErr w:type="gramEnd"/>
      <w:r w:rsidRPr="004B2CBE">
        <w:rPr>
          <w:rFonts w:ascii="Times New Roman" w:hAnsi="Times New Roman" w:cs="Times New Roman"/>
          <w:sz w:val="18"/>
          <w:szCs w:val="18"/>
        </w:rPr>
        <w:t xml:space="preserve"> traumatique peut être comprise comme une « possession ». Une culpabilité pathologique peut se traduire par </w:t>
      </w:r>
      <w:r w:rsidRPr="004B2CBE">
        <w:rPr>
          <w:rFonts w:ascii="Times New Roman" w:hAnsi="Times New Roman" w:cs="Times New Roman"/>
          <w:sz w:val="18"/>
          <w:szCs w:val="18"/>
        </w:rPr>
        <w:lastRenderedPageBreak/>
        <w:t xml:space="preserve">la conviction d’un pacte spirituel irréversible. Dans ces situations, la question n’est pas de ridiculiser la croyance ni de la confirmer. Elle est d’évaluer : </w:t>
      </w:r>
    </w:p>
    <w:p w14:paraId="2A403F72"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Le niveau de souffrance </w:t>
      </w:r>
    </w:p>
    <w:p w14:paraId="7E544819"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Le degré de désorganisation fonctionnelle </w:t>
      </w:r>
    </w:p>
    <w:p w14:paraId="0D23B58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Le risque suicidaire ou hétéro-agressif </w:t>
      </w:r>
    </w:p>
    <w:p w14:paraId="2F163BEF"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L’intensité de la conviction </w:t>
      </w:r>
    </w:p>
    <w:p w14:paraId="1B68582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La présence ou non d’un trouble psychiatrique sous-jacent La MTHS propose une grille d’analyse des « handicaps spirituels » entendus comme altérations de l’autonomie psychique liées à des interprétations religieuses ou symboliques envahissantes. Ces handicaps peuvent se manifester par : </w:t>
      </w: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Une dépendance à des rituels coûteux ou répétitifs </w:t>
      </w:r>
    </w:p>
    <w:p w14:paraId="4439FED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Une peur chronique d’attaques invisibles </w:t>
      </w:r>
    </w:p>
    <w:p w14:paraId="2B12FEED"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Une rupture sociale liée à des accusations </w:t>
      </w:r>
    </w:p>
    <w:p w14:paraId="023C88A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Une incapacité à prendre des décisions sans médiation rituelle </w:t>
      </w:r>
    </w:p>
    <w:p w14:paraId="38C2ACDB"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Une culpabilité spirituelle </w:t>
      </w:r>
      <w:proofErr w:type="gramStart"/>
      <w:r w:rsidRPr="004B2CBE">
        <w:rPr>
          <w:rFonts w:ascii="Times New Roman" w:hAnsi="Times New Roman" w:cs="Times New Roman"/>
          <w:sz w:val="18"/>
          <w:szCs w:val="18"/>
        </w:rPr>
        <w:t>paralysante  L’approche</w:t>
      </w:r>
      <w:proofErr w:type="gramEnd"/>
      <w:r w:rsidRPr="004B2CBE">
        <w:rPr>
          <w:rFonts w:ascii="Times New Roman" w:hAnsi="Times New Roman" w:cs="Times New Roman"/>
          <w:sz w:val="18"/>
          <w:szCs w:val="18"/>
        </w:rPr>
        <w:t xml:space="preserve"> clinique exige alors une double compétence : compréhension du langage religieux et évaluation psychopathologique rigoureuse. </w:t>
      </w:r>
    </w:p>
    <w:p w14:paraId="7D95300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III. PERSPECTIVE THEOLOGIQUE COMPARATIVE : BOUDDHISME, MAL ET RESPONSABILITE </w:t>
      </w:r>
    </w:p>
    <w:p w14:paraId="30D30CAF"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Dans le bouddhisme classique, la souffrance n’est pas attribuée à une entité maléfique extérieure, mais à l’ignorance, à l’attachement et à l’illusion du soi permanent. Le mal n’y est pas personnifié ; il est structurel et cognitif. Cette perspective contraste avec certaines cosmologies où le mal est intentionnel, organisé, dirigé par des forces conscientes. Elle contraste également avec les représentations populaires de la sorcellerie, qui attribuent </w:t>
      </w:r>
      <w:r w:rsidRPr="004B2CBE">
        <w:rPr>
          <w:rFonts w:ascii="Times New Roman" w:hAnsi="Times New Roman" w:cs="Times New Roman"/>
          <w:sz w:val="18"/>
          <w:szCs w:val="18"/>
        </w:rPr>
        <w:lastRenderedPageBreak/>
        <w:t xml:space="preserve">le malheur à l’action d’autrui. Comparer ces visions ne consiste pas à hiérarchiser les religions. Il s’agit d’examiner leurs effets psychiques : </w:t>
      </w:r>
    </w:p>
    <w:p w14:paraId="5C4CC2BA"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La responsabilisation individuelle du bouddhisme favorise-telle l’autonomie ? </w:t>
      </w:r>
    </w:p>
    <w:p w14:paraId="651B7D7B"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Les systèmes accusatoires renforcent-ils la suspicion sociale ? </w:t>
      </w:r>
    </w:p>
    <w:p w14:paraId="50F2267B"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Les cosmologies dualistes intensifient-elles l’angoisse ? L’analyse théologique comparative permet d’évaluer comment chaque système structure l’expérience du mal, de la faute, de la guérison et de la libération.  </w:t>
      </w:r>
    </w:p>
    <w:p w14:paraId="47DA8A2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IV. NAISSANCE DE LA MTHS : VERS UN MODELE INTEGRATIF </w:t>
      </w:r>
    </w:p>
    <w:p w14:paraId="0B7822F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La Médecine Traditionnelle des Handicapés Spirituels émerge de cette triple nécessité : </w:t>
      </w:r>
    </w:p>
    <w:p w14:paraId="7180C478"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1. Comprendre les systèmes symboliques (anthropologie) </w:t>
      </w:r>
    </w:p>
    <w:p w14:paraId="0D870249"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2. Évaluer la souffrance psychique (psychologie/psychiatrie) </w:t>
      </w:r>
    </w:p>
    <w:p w14:paraId="3EF72B7D"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3. Analyser les cadres doctrinaux (théologie comparative) Elle ne prétend pas remplacer la psychiatrie, ni juger les religions. Elle vise à créer un espace clinique où les récits spirituels peuvent être entendus sans validation littérale ni disqualification brutale. Le modèle repose sur plusieurs principes : </w:t>
      </w:r>
    </w:p>
    <w:p w14:paraId="266062B5"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Neutralité ontologique </w:t>
      </w:r>
    </w:p>
    <w:p w14:paraId="4CC900DE"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Primauté de la sécurité </w:t>
      </w:r>
    </w:p>
    <w:p w14:paraId="12156934"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Respect de la liberté religieuse </w:t>
      </w:r>
    </w:p>
    <w:p w14:paraId="589190E9"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Refus de toute stigmatisation </w:t>
      </w:r>
    </w:p>
    <w:p w14:paraId="0354146C"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Protection prioritaire des personnes vulnérables </w:t>
      </w:r>
    </w:p>
    <w:p w14:paraId="5A3C02D1"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V. PROTECTION DES PERSONNES VULNERABLES </w:t>
      </w:r>
    </w:p>
    <w:p w14:paraId="2DDBDA1E"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t xml:space="preserve">Les accusations de sorcellerie ont historiquement conduit à des violences graves dans plusieurs régions du monde. Les croyances en pactes sataniques ont alimenté des paniques morales. Les expériences mystiques ont parfois été confondues avec des pathologies, et inversement. 29 Le risque majeur est double : </w:t>
      </w:r>
    </w:p>
    <w:p w14:paraId="7875A497"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Psychiatriser abusivement une expérience spirituelle non pathologique </w:t>
      </w:r>
    </w:p>
    <w:p w14:paraId="157173C4"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Spiritualiser abusivement un trouble psychiatrique nécessitant un traitement La MTHS insiste donc sur : </w:t>
      </w:r>
    </w:p>
    <w:p w14:paraId="0C1049EC" w14:textId="67F0A186"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L’évaluation différentielle rigoureuse </w:t>
      </w:r>
    </w:p>
    <w:p w14:paraId="1BBFA946"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La collaboration interdisciplinaire </w:t>
      </w:r>
    </w:p>
    <w:p w14:paraId="486C23DF"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La supervision éthique </w:t>
      </w:r>
    </w:p>
    <w:p w14:paraId="2646293A"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L’information éclairée des patients </w:t>
      </w:r>
    </w:p>
    <w:p w14:paraId="114238B4"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sym w:font="Symbol" w:char="F0B7"/>
      </w:r>
      <w:r w:rsidRPr="004B2CBE">
        <w:rPr>
          <w:rFonts w:ascii="Times New Roman" w:hAnsi="Times New Roman" w:cs="Times New Roman"/>
          <w:sz w:val="18"/>
          <w:szCs w:val="18"/>
        </w:rPr>
        <w:t xml:space="preserve"> L’interdiction de toute pratique coercitive ou humiliante </w:t>
      </w:r>
    </w:p>
    <w:p w14:paraId="1691F203"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VI. ARCHITECTURE DE L’OUVRAGE </w:t>
      </w:r>
    </w:p>
    <w:p w14:paraId="679DAA0E"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Ce livre suit une progression logique : </w:t>
      </w:r>
    </w:p>
    <w:p w14:paraId="40FEA0F0"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1. Fondements historiques et doctrinaux du bouddhisme </w:t>
      </w:r>
    </w:p>
    <w:p w14:paraId="20F2132A"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2. Étude anthropologique des représentations de la sorcellerie </w:t>
      </w:r>
    </w:p>
    <w:p w14:paraId="05E6AE75"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3. Analyse sociologique et médiatique du satanisme </w:t>
      </w:r>
    </w:p>
    <w:p w14:paraId="31FAF014"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4. Approche clinique des détresses à contenu religieux</w:t>
      </w:r>
    </w:p>
    <w:p w14:paraId="5922BACB"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 5. Construction méthodologique de la MTHS </w:t>
      </w:r>
    </w:p>
    <w:p w14:paraId="4CBDB203"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6. Protocoles de discernement et de protection </w:t>
      </w:r>
    </w:p>
    <w:p w14:paraId="436C8A5D"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lastRenderedPageBreak/>
        <w:t xml:space="preserve">7. Perspectives éthiques et scientifiques Chaque partie construit la suivante, dans un mouvement allant de la description vers la clinique, puis vers la responsabilité.  </w:t>
      </w:r>
    </w:p>
    <w:p w14:paraId="72D38D32"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VII. UNE ETHIQUE DU DISCERNEMENT </w:t>
      </w:r>
    </w:p>
    <w:p w14:paraId="03EF7FDE" w14:textId="7777777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Ce livre n’est ni un traité apologétique ni un manifeste polémique. Il est une tentative de lucidité. La lucidité consiste à reconnaître que les croyances structurent profondément la psyché humaine, mais que la protection des personnes exige méthode et prudence. Le discernement n’est pas le scepticisme cynique. Il est l’art de distinguer sans blesser, d’écouter sans valider l’illusion, d’accompagner sans dominer. Conclusion de l’avant-propos À l’heure où les frontières entre santé mentale et spiritualité sont fréquemment brouillées, il devient urgent de construire des modèles intégratifs capables de dialoguer avec les traditions religieuses tout en respectant les standards scientifiques contemporains. </w:t>
      </w:r>
    </w:p>
    <w:p w14:paraId="35AC7308" w14:textId="77B87CE7" w:rsidR="004B2CBE" w:rsidRPr="004B2CBE" w:rsidRDefault="004B2CBE" w:rsidP="004B2CBE">
      <w:pPr>
        <w:spacing w:line="360" w:lineRule="auto"/>
        <w:ind w:firstLine="708"/>
        <w:jc w:val="both"/>
        <w:rPr>
          <w:rFonts w:ascii="Times New Roman" w:hAnsi="Times New Roman" w:cs="Times New Roman"/>
          <w:sz w:val="18"/>
          <w:szCs w:val="18"/>
        </w:rPr>
      </w:pPr>
      <w:r w:rsidRPr="004B2CBE">
        <w:rPr>
          <w:rFonts w:ascii="Times New Roman" w:hAnsi="Times New Roman" w:cs="Times New Roman"/>
          <w:sz w:val="18"/>
          <w:szCs w:val="18"/>
        </w:rPr>
        <w:t xml:space="preserve">La MTHS se veut une proposition en ce sens : un outil d’analyse et d’accompagnement des vulnérabilités </w:t>
      </w:r>
      <w:proofErr w:type="spellStart"/>
      <w:r w:rsidRPr="004B2CBE">
        <w:rPr>
          <w:rFonts w:ascii="Times New Roman" w:hAnsi="Times New Roman" w:cs="Times New Roman"/>
          <w:sz w:val="18"/>
          <w:szCs w:val="18"/>
        </w:rPr>
        <w:t>psychospirituelles</w:t>
      </w:r>
      <w:proofErr w:type="spellEnd"/>
      <w:r w:rsidRPr="004B2CBE">
        <w:rPr>
          <w:rFonts w:ascii="Times New Roman" w:hAnsi="Times New Roman" w:cs="Times New Roman"/>
          <w:sz w:val="18"/>
          <w:szCs w:val="18"/>
        </w:rPr>
        <w:t xml:space="preserve">, fondé sur l’anthropologie, éclairé par la psychologie clinique et attentif aux cadres théologiques. Ce livre invite le lecteur (chercheur, clinicien, leader spirituel ou simple observateur) à entrer dans un espace de réflexion exigeant, où la compréhension précède le jugement et où la protection de l’humain demeure la priorité absolue. </w:t>
      </w:r>
    </w:p>
    <w:p w14:paraId="661BB4BF" w14:textId="4FF1E325" w:rsidR="004B2CBE" w:rsidRPr="004B2CBE" w:rsidRDefault="004B2CBE" w:rsidP="004B2CBE">
      <w:pPr>
        <w:spacing w:line="360" w:lineRule="auto"/>
        <w:jc w:val="both"/>
        <w:rPr>
          <w:rFonts w:ascii="Times New Roman" w:hAnsi="Times New Roman" w:cs="Times New Roman"/>
          <w:sz w:val="18"/>
          <w:szCs w:val="18"/>
        </w:rPr>
      </w:pPr>
      <w:r w:rsidRPr="004B2CBE">
        <w:rPr>
          <w:rFonts w:ascii="Times New Roman" w:hAnsi="Times New Roman" w:cs="Times New Roman"/>
          <w:sz w:val="18"/>
          <w:szCs w:val="18"/>
        </w:rPr>
        <w:br w:type="page"/>
      </w:r>
    </w:p>
    <w:p w14:paraId="0DA3E187" w14:textId="77777777" w:rsidR="004B2CBE" w:rsidRPr="004B2CBE" w:rsidRDefault="004B2CBE" w:rsidP="004B2CBE">
      <w:pPr>
        <w:spacing w:line="360" w:lineRule="auto"/>
        <w:ind w:firstLine="708"/>
        <w:jc w:val="both"/>
        <w:rPr>
          <w:rFonts w:ascii="Times New Roman" w:hAnsi="Times New Roman" w:cs="Times New Roman"/>
          <w:sz w:val="18"/>
          <w:szCs w:val="18"/>
        </w:rPr>
      </w:pPr>
    </w:p>
    <w:sectPr w:rsidR="004B2CBE" w:rsidRPr="004B2CBE" w:rsidSect="004B2CBE">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BE"/>
    <w:rsid w:val="001552F7"/>
    <w:rsid w:val="00186A94"/>
    <w:rsid w:val="0045195E"/>
    <w:rsid w:val="004B2CBE"/>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BEE2"/>
  <w15:chartTrackingRefBased/>
  <w15:docId w15:val="{4B2F527D-4313-448A-ABEB-8D1D1C6FD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B2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B2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B2CB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B2CB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B2CB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B2C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2C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2C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2C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2CB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B2CB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B2CB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B2CB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B2CB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B2C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2C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2C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2CBE"/>
    <w:rPr>
      <w:rFonts w:eastAsiaTheme="majorEastAsia" w:cstheme="majorBidi"/>
      <w:color w:val="272727" w:themeColor="text1" w:themeTint="D8"/>
    </w:rPr>
  </w:style>
  <w:style w:type="paragraph" w:styleId="Titre">
    <w:name w:val="Title"/>
    <w:basedOn w:val="Normal"/>
    <w:next w:val="Normal"/>
    <w:link w:val="TitreCar"/>
    <w:uiPriority w:val="10"/>
    <w:qFormat/>
    <w:rsid w:val="004B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2C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2C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2C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2CBE"/>
    <w:pPr>
      <w:spacing w:before="160"/>
      <w:jc w:val="center"/>
    </w:pPr>
    <w:rPr>
      <w:i/>
      <w:iCs/>
      <w:color w:val="404040" w:themeColor="text1" w:themeTint="BF"/>
    </w:rPr>
  </w:style>
  <w:style w:type="character" w:customStyle="1" w:styleId="CitationCar">
    <w:name w:val="Citation Car"/>
    <w:basedOn w:val="Policepardfaut"/>
    <w:link w:val="Citation"/>
    <w:uiPriority w:val="29"/>
    <w:rsid w:val="004B2CBE"/>
    <w:rPr>
      <w:i/>
      <w:iCs/>
      <w:color w:val="404040" w:themeColor="text1" w:themeTint="BF"/>
    </w:rPr>
  </w:style>
  <w:style w:type="paragraph" w:styleId="Paragraphedeliste">
    <w:name w:val="List Paragraph"/>
    <w:basedOn w:val="Normal"/>
    <w:uiPriority w:val="34"/>
    <w:qFormat/>
    <w:rsid w:val="004B2CBE"/>
    <w:pPr>
      <w:ind w:left="720"/>
      <w:contextualSpacing/>
    </w:pPr>
  </w:style>
  <w:style w:type="character" w:styleId="Accentuationintense">
    <w:name w:val="Intense Emphasis"/>
    <w:basedOn w:val="Policepardfaut"/>
    <w:uiPriority w:val="21"/>
    <w:qFormat/>
    <w:rsid w:val="004B2CBE"/>
    <w:rPr>
      <w:i/>
      <w:iCs/>
      <w:color w:val="2F5496" w:themeColor="accent1" w:themeShade="BF"/>
    </w:rPr>
  </w:style>
  <w:style w:type="paragraph" w:styleId="Citationintense">
    <w:name w:val="Intense Quote"/>
    <w:basedOn w:val="Normal"/>
    <w:next w:val="Normal"/>
    <w:link w:val="CitationintenseCar"/>
    <w:uiPriority w:val="30"/>
    <w:qFormat/>
    <w:rsid w:val="004B2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B2CBE"/>
    <w:rPr>
      <w:i/>
      <w:iCs/>
      <w:color w:val="2F5496" w:themeColor="accent1" w:themeShade="BF"/>
    </w:rPr>
  </w:style>
  <w:style w:type="character" w:styleId="Rfrenceintense">
    <w:name w:val="Intense Reference"/>
    <w:basedOn w:val="Policepardfaut"/>
    <w:uiPriority w:val="32"/>
    <w:qFormat/>
    <w:rsid w:val="004B2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3633</Words>
  <Characters>19982</Characters>
  <Application>Microsoft Office Word</Application>
  <DocSecurity>0</DocSecurity>
  <Lines>166</Lines>
  <Paragraphs>47</Paragraphs>
  <ScaleCrop>false</ScaleCrop>
  <Company/>
  <LinksUpToDate>false</LinksUpToDate>
  <CharactersWithSpaces>23568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2026-08-09T20:41:00Z</dcterms:created>
  <dcterms:modified xsi:type="dcterms:W3CDTF">2026-08-09T20:53:00Z</dcterms:modified>
</cp:coreProperties>
</file>