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A4FE" w14:textId="77777777" w:rsidR="00231DFC" w:rsidRDefault="00231DFC" w:rsidP="00231DFC">
      <w:pPr>
        <w:spacing w:line="360" w:lineRule="auto"/>
        <w:jc w:val="both"/>
        <w:rPr>
          <w:rFonts w:ascii="Times New Roman" w:hAnsi="Times New Roman" w:cs="Times New Roman"/>
          <w:sz w:val="18"/>
          <w:szCs w:val="18"/>
        </w:rPr>
      </w:pPr>
    </w:p>
    <w:p w14:paraId="04474529" w14:textId="77777777" w:rsidR="00231DFC" w:rsidRDefault="00231DFC" w:rsidP="00231DFC">
      <w:pPr>
        <w:spacing w:line="360" w:lineRule="auto"/>
        <w:jc w:val="both"/>
        <w:rPr>
          <w:rFonts w:ascii="Times New Roman" w:hAnsi="Times New Roman" w:cs="Times New Roman"/>
          <w:sz w:val="18"/>
          <w:szCs w:val="18"/>
        </w:rPr>
      </w:pPr>
    </w:p>
    <w:p w14:paraId="34289952" w14:textId="77777777" w:rsidR="00231DFC" w:rsidRDefault="00231DFC" w:rsidP="00231DFC">
      <w:pPr>
        <w:spacing w:line="360" w:lineRule="auto"/>
        <w:jc w:val="both"/>
        <w:rPr>
          <w:rFonts w:ascii="Times New Roman" w:hAnsi="Times New Roman" w:cs="Times New Roman"/>
          <w:sz w:val="18"/>
          <w:szCs w:val="18"/>
        </w:rPr>
      </w:pPr>
    </w:p>
    <w:p w14:paraId="3F73AB02" w14:textId="77777777" w:rsidR="00231DFC" w:rsidRDefault="00231DFC" w:rsidP="00231DFC">
      <w:pPr>
        <w:spacing w:line="360" w:lineRule="auto"/>
        <w:jc w:val="both"/>
        <w:rPr>
          <w:rFonts w:ascii="Times New Roman" w:hAnsi="Times New Roman" w:cs="Times New Roman"/>
          <w:sz w:val="18"/>
          <w:szCs w:val="18"/>
        </w:rPr>
      </w:pPr>
    </w:p>
    <w:p w14:paraId="30300B3E" w14:textId="77777777" w:rsidR="00231DFC" w:rsidRDefault="00231DFC" w:rsidP="00231DFC">
      <w:pPr>
        <w:spacing w:line="360" w:lineRule="auto"/>
        <w:jc w:val="both"/>
        <w:rPr>
          <w:rFonts w:ascii="Times New Roman" w:hAnsi="Times New Roman" w:cs="Times New Roman"/>
          <w:sz w:val="18"/>
          <w:szCs w:val="18"/>
        </w:rPr>
      </w:pPr>
    </w:p>
    <w:p w14:paraId="3E0ABBD2" w14:textId="77777777" w:rsidR="00231DFC" w:rsidRDefault="00231DFC" w:rsidP="00231DFC">
      <w:pPr>
        <w:spacing w:line="360" w:lineRule="auto"/>
        <w:jc w:val="both"/>
        <w:rPr>
          <w:rFonts w:ascii="Times New Roman" w:hAnsi="Times New Roman" w:cs="Times New Roman"/>
          <w:sz w:val="18"/>
          <w:szCs w:val="18"/>
        </w:rPr>
      </w:pPr>
    </w:p>
    <w:p w14:paraId="071E2FF3" w14:textId="3E2C216A" w:rsid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t xml:space="preserve">LES CONSÉQUENCES SPIRITUELLES DE LA MASTURBATION ET DE LA PORNOGRAPHIE DANS TA VIE </w:t>
      </w:r>
    </w:p>
    <w:p w14:paraId="352DA801" w14:textId="7F7D5B22" w:rsidR="00FA2B91" w:rsidRPr="00231DFC" w:rsidRDefault="00FA2B91" w:rsidP="00231DFC">
      <w:pPr>
        <w:spacing w:line="360" w:lineRule="auto"/>
        <w:jc w:val="both"/>
        <w:rPr>
          <w:rFonts w:ascii="Times New Roman" w:hAnsi="Times New Roman" w:cs="Times New Roman"/>
          <w:sz w:val="18"/>
          <w:szCs w:val="18"/>
        </w:rPr>
      </w:pPr>
      <w:proofErr w:type="gramStart"/>
      <w:r w:rsidRPr="00231DFC">
        <w:rPr>
          <w:rFonts w:ascii="Times New Roman" w:hAnsi="Times New Roman" w:cs="Times New Roman"/>
          <w:sz w:val="18"/>
          <w:szCs w:val="18"/>
        </w:rPr>
        <w:t>décharge</w:t>
      </w:r>
      <w:proofErr w:type="gramEnd"/>
      <w:r w:rsidRPr="00231DFC">
        <w:rPr>
          <w:rFonts w:ascii="Times New Roman" w:hAnsi="Times New Roman" w:cs="Times New Roman"/>
          <w:sz w:val="18"/>
          <w:szCs w:val="18"/>
        </w:rPr>
        <w:t xml:space="preserve"> d’énergie, maladies mystiques, blocages socioprofessionnels </w:t>
      </w:r>
    </w:p>
    <w:p w14:paraId="0932B552" w14:textId="0F6873C3" w:rsidR="00186A94"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t>Approche clinique de la Médecine Traditionnelle des Handicapés Spirituels (MTHS)</w:t>
      </w:r>
    </w:p>
    <w:p w14:paraId="6899CB4A" w14:textId="6F18BDBB"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br w:type="page"/>
      </w:r>
    </w:p>
    <w:p w14:paraId="2333A5B2" w14:textId="0AE51940"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lastRenderedPageBreak/>
        <w:t>LES CLÉFS DU SUCCÈS DE L’ÉCOLE DU FUTUR</w:t>
      </w:r>
    </w:p>
    <w:p w14:paraId="66B14F1D"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78B20406"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231DFC">
        <w:rPr>
          <w:rFonts w:ascii="Times New Roman" w:hAnsi="Times New Roman" w:cs="Times New Roman"/>
          <w:sz w:val="18"/>
          <w:szCs w:val="18"/>
        </w:rPr>
        <w:t>des cinq continent</w:t>
      </w:r>
      <w:proofErr w:type="gramEnd"/>
      <w:r w:rsidRPr="00231DFC">
        <w:rPr>
          <w:rFonts w:ascii="Times New Roman" w:hAnsi="Times New Roman" w:cs="Times New Roman"/>
          <w:sz w:val="18"/>
          <w:szCs w:val="18"/>
        </w:rPr>
        <w:t xml:space="preserve"> de la Planète Terre. </w:t>
      </w:r>
    </w:p>
    <w:p w14:paraId="2A02AA6D"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0ECA7B39" w14:textId="7827D17A"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428AEC5C"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231DFC">
        <w:rPr>
          <w:rFonts w:ascii="Times New Roman" w:hAnsi="Times New Roman" w:cs="Times New Roman"/>
          <w:sz w:val="18"/>
          <w:szCs w:val="18"/>
        </w:rPr>
        <w:t>sacerdoce;</w:t>
      </w:r>
      <w:proofErr w:type="gramEnd"/>
      <w:r w:rsidRPr="00231DFC">
        <w:rPr>
          <w:rFonts w:ascii="Times New Roman" w:hAnsi="Times New Roman" w:cs="Times New Roman"/>
          <w:sz w:val="18"/>
          <w:szCs w:val="18"/>
        </w:rPr>
        <w:t xml:space="preserve"> Puisque tu as oublié la loi de ton Dieu, J'oublierai aussi tes enfants » (OSEE 4.6). </w:t>
      </w:r>
    </w:p>
    <w:p w14:paraId="4B148136"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NOTRE METHODE DE TRANSFORMATION : « </w:t>
      </w:r>
      <w:proofErr w:type="gramStart"/>
      <w:r w:rsidRPr="00231DFC">
        <w:rPr>
          <w:rFonts w:ascii="Times New Roman" w:hAnsi="Times New Roman" w:cs="Times New Roman"/>
          <w:sz w:val="18"/>
          <w:szCs w:val="18"/>
        </w:rPr>
        <w:t>Homme!!!</w:t>
      </w:r>
      <w:proofErr w:type="gramEnd"/>
      <w:r w:rsidRPr="00231DFC">
        <w:rPr>
          <w:rFonts w:ascii="Times New Roman" w:hAnsi="Times New Roman" w:cs="Times New Roman"/>
          <w:sz w:val="18"/>
          <w:szCs w:val="18"/>
        </w:rPr>
        <w:t xml:space="preserve"> connais-toi d'abord spirituellement toi-</w:t>
      </w:r>
      <w:proofErr w:type="gramStart"/>
      <w:r w:rsidRPr="00231DFC">
        <w:rPr>
          <w:rFonts w:ascii="Times New Roman" w:hAnsi="Times New Roman" w:cs="Times New Roman"/>
          <w:sz w:val="18"/>
          <w:szCs w:val="18"/>
        </w:rPr>
        <w:t>même;</w:t>
      </w:r>
      <w:proofErr w:type="gramEnd"/>
      <w:r w:rsidRPr="00231DFC">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61C51C76"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071829E2" w14:textId="6CADC756"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(Jean Paul Sylvain SIDA ABENA)</w:t>
      </w:r>
    </w:p>
    <w:p w14:paraId="2BFDC87F" w14:textId="42016D0E"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br w:type="page"/>
      </w:r>
    </w:p>
    <w:p w14:paraId="4BC17F69" w14:textId="549ED43D"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lastRenderedPageBreak/>
        <w:t>SOMMAIRE</w:t>
      </w:r>
    </w:p>
    <w:p w14:paraId="53CD24C5"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PRÉFACE………………………………………………………………………...P.14 AVANT-PROPOS………………………………………………………………...P.17 </w:t>
      </w:r>
    </w:p>
    <w:p w14:paraId="5EB354CA"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INTRODUCTION GÉNÉRALE……………………………………………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P.20 </w:t>
      </w:r>
    </w:p>
    <w:p w14:paraId="4D9D7055"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PARTIE I : FONDEMENTS THÉORIQUES ET CONCEPTUELS……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.p.29 </w:t>
      </w:r>
    </w:p>
    <w:p w14:paraId="7D1BA5F8"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1 : Anthropologie spirituelle de l’être humain…………………</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P.30 </w:t>
      </w:r>
    </w:p>
    <w:p w14:paraId="2A97C104"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2 : Définition clinique de la masturbation et de la </w:t>
      </w:r>
      <w:proofErr w:type="gramStart"/>
      <w:r w:rsidRPr="00231DFC">
        <w:rPr>
          <w:rFonts w:ascii="Times New Roman" w:hAnsi="Times New Roman" w:cs="Times New Roman"/>
          <w:sz w:val="16"/>
          <w:szCs w:val="16"/>
        </w:rPr>
        <w:t>pornographie….</w:t>
      </w:r>
      <w:proofErr w:type="gramEnd"/>
      <w:r w:rsidRPr="00231DFC">
        <w:rPr>
          <w:rFonts w:ascii="Times New Roman" w:hAnsi="Times New Roman" w:cs="Times New Roman"/>
          <w:sz w:val="16"/>
          <w:szCs w:val="16"/>
        </w:rPr>
        <w:t xml:space="preserve">P.39 </w:t>
      </w:r>
    </w:p>
    <w:p w14:paraId="6277BB0D"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3 : Fondements de la MTHS……………………………………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P.49 </w:t>
      </w:r>
    </w:p>
    <w:p w14:paraId="6141F6C7"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PARTIE II : MÉCANISMES D’ALTÉRATION SPIRITUELLE…………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.P.58 </w:t>
      </w:r>
    </w:p>
    <w:p w14:paraId="6A5716F1"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4 : La décharge d’énergie vitale………………………………...……P.59 </w:t>
      </w:r>
    </w:p>
    <w:p w14:paraId="76EE0F50"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5 : Ouverture des portes spirituelles………………………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P.67 </w:t>
      </w:r>
    </w:p>
    <w:p w14:paraId="79CFE861"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6 : Programmation mentale et altération du subconscient…</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.P.74 </w:t>
      </w:r>
    </w:p>
    <w:p w14:paraId="42226E98"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PARTIE III : CONSÉQUENCES SPIRITUELLES ET PATHOLOGIQUES…P.82 </w:t>
      </w:r>
    </w:p>
    <w:p w14:paraId="28702B4A"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7 : Maladies mystiques liées à la sexualité déviante…………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P.83 </w:t>
      </w:r>
    </w:p>
    <w:p w14:paraId="24966607"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8 : Dégradation de l’aura spirituelle…………………………...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.P.91 </w:t>
      </w:r>
    </w:p>
    <w:p w14:paraId="5B4BB54F"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9 : Blocages socioprofessionnels……………………………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.P.101 </w:t>
      </w:r>
    </w:p>
    <w:p w14:paraId="3D11B85F"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10 : Impact sur la vie affective et relationnelle………………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P.107 </w:t>
      </w:r>
    </w:p>
    <w:p w14:paraId="490DDA56"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PARTIE IV : APPROCHE CLINIQUE ET DIAGNOSTIC DE LA </w:t>
      </w:r>
      <w:proofErr w:type="gramStart"/>
      <w:r w:rsidRPr="00231DFC">
        <w:rPr>
          <w:rFonts w:ascii="Times New Roman" w:hAnsi="Times New Roman" w:cs="Times New Roman"/>
          <w:sz w:val="16"/>
          <w:szCs w:val="16"/>
        </w:rPr>
        <w:t>MTHS….</w:t>
      </w:r>
      <w:proofErr w:type="gramEnd"/>
      <w:r w:rsidRPr="00231DFC">
        <w:rPr>
          <w:rFonts w:ascii="Times New Roman" w:hAnsi="Times New Roman" w:cs="Times New Roman"/>
          <w:sz w:val="16"/>
          <w:szCs w:val="16"/>
        </w:rPr>
        <w:t xml:space="preserve">.P.116 </w:t>
      </w:r>
    </w:p>
    <w:p w14:paraId="00AE914A"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11 : Diagnostic spirituel et énergétique……………………………P.117 </w:t>
      </w:r>
    </w:p>
    <w:p w14:paraId="12A16411"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12 : Classification des patients………………………………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.P.124 </w:t>
      </w:r>
    </w:p>
    <w:p w14:paraId="15F166B7"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13 : Études de cas cliniques………………………………………...P.132 </w:t>
      </w:r>
    </w:p>
    <w:p w14:paraId="7AD9BA4D"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PARTIE V : PROCESSUS THÉRAPEUTIQUE ET GUÉRISON…………...P.140 </w:t>
      </w:r>
    </w:p>
    <w:p w14:paraId="0FF86519"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14 : Comprendre les causes profondes……………………………P.141 </w:t>
      </w:r>
    </w:p>
    <w:p w14:paraId="4DE82495"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15 : Prise de conscience et rupture…………………………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.P.148</w:t>
      </w:r>
    </w:p>
    <w:p w14:paraId="27442645" w14:textId="0F5513E0"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lastRenderedPageBreak/>
        <w:t xml:space="preserve"> Chapitre 16 : Techniques de purification spirituelle………………………...P.158  </w:t>
      </w:r>
    </w:p>
    <w:p w14:paraId="1A76CDA5"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17 : Rééducation </w:t>
      </w:r>
      <w:proofErr w:type="spellStart"/>
      <w:r w:rsidRPr="00231DFC">
        <w:rPr>
          <w:rFonts w:ascii="Times New Roman" w:hAnsi="Times New Roman" w:cs="Times New Roman"/>
          <w:sz w:val="16"/>
          <w:szCs w:val="16"/>
        </w:rPr>
        <w:t>psychospirituelle</w:t>
      </w:r>
      <w:proofErr w:type="spellEnd"/>
      <w:r w:rsidRPr="00231DFC">
        <w:rPr>
          <w:rFonts w:ascii="Times New Roman" w:hAnsi="Times New Roman" w:cs="Times New Roman"/>
          <w:sz w:val="16"/>
          <w:szCs w:val="16"/>
        </w:rPr>
        <w:t xml:space="preserve">…………………………………P.164 </w:t>
      </w:r>
    </w:p>
    <w:p w14:paraId="79D336E1"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18 : Restauration énergétique………………………………………P.173 </w:t>
      </w:r>
    </w:p>
    <w:p w14:paraId="4885A1A1" w14:textId="77777777" w:rsidR="00FA2B91" w:rsidRPr="00231DFC" w:rsidRDefault="00FA2B91" w:rsidP="00231DFC">
      <w:pPr>
        <w:spacing w:line="360" w:lineRule="auto"/>
        <w:jc w:val="both"/>
        <w:rPr>
          <w:rFonts w:ascii="Times New Roman" w:hAnsi="Times New Roman" w:cs="Times New Roman"/>
          <w:sz w:val="16"/>
          <w:szCs w:val="16"/>
        </w:rPr>
      </w:pPr>
      <w:proofErr w:type="gramStart"/>
      <w:r w:rsidRPr="00231DFC">
        <w:rPr>
          <w:rFonts w:ascii="Times New Roman" w:hAnsi="Times New Roman" w:cs="Times New Roman"/>
          <w:sz w:val="16"/>
          <w:szCs w:val="16"/>
        </w:rPr>
        <w:t>PARTIE VI</w:t>
      </w:r>
      <w:proofErr w:type="gramEnd"/>
      <w:r w:rsidRPr="00231DFC">
        <w:rPr>
          <w:rFonts w:ascii="Times New Roman" w:hAnsi="Times New Roman" w:cs="Times New Roman"/>
          <w:sz w:val="16"/>
          <w:szCs w:val="16"/>
        </w:rPr>
        <w:t xml:space="preserve"> : PRÉVENTION ET HYGIÈNE DE VIE SPIRITUELLE…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.P.180 </w:t>
      </w:r>
    </w:p>
    <w:p w14:paraId="29EBA007"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19 : Éducation sexuelle spirituelle……………………………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.P.181 </w:t>
      </w:r>
    </w:p>
    <w:p w14:paraId="3E195306"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20 : Stratégies de prévention…………………………………</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.P.190 </w:t>
      </w:r>
    </w:p>
    <w:p w14:paraId="5B4DD5A2"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21 : Hygiène quotidienne de l’âme……………………………</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P.199 </w:t>
      </w:r>
    </w:p>
    <w:p w14:paraId="0D762152" w14:textId="77777777" w:rsidR="00FA2B91" w:rsidRPr="00231DFC" w:rsidRDefault="00FA2B91" w:rsidP="00231DFC">
      <w:pPr>
        <w:spacing w:line="360" w:lineRule="auto"/>
        <w:jc w:val="both"/>
        <w:rPr>
          <w:rFonts w:ascii="Times New Roman" w:hAnsi="Times New Roman" w:cs="Times New Roman"/>
          <w:sz w:val="16"/>
          <w:szCs w:val="16"/>
        </w:rPr>
      </w:pPr>
      <w:proofErr w:type="gramStart"/>
      <w:r w:rsidRPr="00231DFC">
        <w:rPr>
          <w:rFonts w:ascii="Times New Roman" w:hAnsi="Times New Roman" w:cs="Times New Roman"/>
          <w:sz w:val="16"/>
          <w:szCs w:val="16"/>
        </w:rPr>
        <w:t>PARTIE VII</w:t>
      </w:r>
      <w:proofErr w:type="gramEnd"/>
      <w:r w:rsidRPr="00231DFC">
        <w:rPr>
          <w:rFonts w:ascii="Times New Roman" w:hAnsi="Times New Roman" w:cs="Times New Roman"/>
          <w:sz w:val="16"/>
          <w:szCs w:val="16"/>
        </w:rPr>
        <w:t xml:space="preserve"> : MODÈLE DE RESTAURATION INTÉGRALE (MTHS)</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.P.208 </w:t>
      </w:r>
    </w:p>
    <w:p w14:paraId="1B679A03"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Chapitre 22 : Vision holistique de la guérison…………………………</w:t>
      </w:r>
      <w:proofErr w:type="gramStart"/>
      <w:r w:rsidRPr="00231DFC">
        <w:rPr>
          <w:rFonts w:ascii="Times New Roman" w:hAnsi="Times New Roman" w:cs="Times New Roman"/>
          <w:sz w:val="16"/>
          <w:szCs w:val="16"/>
        </w:rPr>
        <w:t>…….</w:t>
      </w:r>
      <w:proofErr w:type="gramEnd"/>
      <w:r w:rsidRPr="00231DFC">
        <w:rPr>
          <w:rFonts w:ascii="Times New Roman" w:hAnsi="Times New Roman" w:cs="Times New Roman"/>
          <w:sz w:val="16"/>
          <w:szCs w:val="16"/>
        </w:rPr>
        <w:t xml:space="preserve">.P.209 </w:t>
      </w:r>
    </w:p>
    <w:p w14:paraId="4A241E03"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23 : Indicateurs de guérison………………………………………...P.218 </w:t>
      </w:r>
    </w:p>
    <w:p w14:paraId="293C383D" w14:textId="77777777"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 xml:space="preserve">Chapitre 24 : Réinsertion socioprofessionnelle……………………………...P.227 </w:t>
      </w:r>
    </w:p>
    <w:p w14:paraId="14109605" w14:textId="66A02870" w:rsidR="00FA2B91" w:rsidRPr="00231DFC" w:rsidRDefault="00FA2B91" w:rsidP="00231DFC">
      <w:pPr>
        <w:spacing w:line="360" w:lineRule="auto"/>
        <w:jc w:val="both"/>
        <w:rPr>
          <w:rFonts w:ascii="Times New Roman" w:hAnsi="Times New Roman" w:cs="Times New Roman"/>
          <w:sz w:val="16"/>
          <w:szCs w:val="16"/>
        </w:rPr>
      </w:pPr>
      <w:r w:rsidRPr="00231DFC">
        <w:rPr>
          <w:rFonts w:ascii="Times New Roman" w:hAnsi="Times New Roman" w:cs="Times New Roman"/>
          <w:sz w:val="16"/>
          <w:szCs w:val="16"/>
        </w:rPr>
        <w:t>CONCLUSION GÉNÉRALE……………………………………………………P.237</w:t>
      </w:r>
    </w:p>
    <w:p w14:paraId="53864DDC" w14:textId="77777777" w:rsidR="00FA2B91" w:rsidRPr="00231DFC" w:rsidRDefault="00FA2B91" w:rsidP="00231DFC">
      <w:pPr>
        <w:spacing w:line="360" w:lineRule="auto"/>
        <w:jc w:val="both"/>
        <w:rPr>
          <w:rFonts w:ascii="Times New Roman" w:hAnsi="Times New Roman" w:cs="Times New Roman"/>
          <w:sz w:val="18"/>
          <w:szCs w:val="18"/>
        </w:rPr>
      </w:pPr>
    </w:p>
    <w:p w14:paraId="78E94C70" w14:textId="29264BDE"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br w:type="page"/>
      </w:r>
    </w:p>
    <w:p w14:paraId="3D393BC5" w14:textId="53B6DE27"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lastRenderedPageBreak/>
        <w:t>PREFACE</w:t>
      </w:r>
    </w:p>
    <w:p w14:paraId="33E98443"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À l’ère de l’</w:t>
      </w:r>
      <w:proofErr w:type="spellStart"/>
      <w:r w:rsidRPr="00231DFC">
        <w:rPr>
          <w:rFonts w:ascii="Times New Roman" w:hAnsi="Times New Roman" w:cs="Times New Roman"/>
          <w:sz w:val="18"/>
          <w:szCs w:val="18"/>
        </w:rPr>
        <w:t>hyperconnexion</w:t>
      </w:r>
      <w:proofErr w:type="spellEnd"/>
      <w:r w:rsidRPr="00231DFC">
        <w:rPr>
          <w:rFonts w:ascii="Times New Roman" w:hAnsi="Times New Roman" w:cs="Times New Roman"/>
          <w:sz w:val="18"/>
          <w:szCs w:val="18"/>
        </w:rPr>
        <w:t xml:space="preserve"> et de la banalisation des pratiques sexuelles solitaires, la masturbation et la pornographie se présentent, dans les discours dominants, comme des comportements anodins, voire normatifs. Elles sont souvent perçues à travers le prisme réducteur du plaisir immédiat, de la détente psychologique ou de l’expression individuelle de la sexualité. Pourtant, cette lecture superficielle occulte une dimension essentielle de l’être humain : sa réalité spirituelle. Le présent ouvrage s’inscrit précisément dans cette zone d’ombre, là où les sciences conventionnelles hésitent encore à poser un regard rigoureux. En adoptant une approche clinique issue de la Médecine Traditionnelle des Handicapés Spirituels (MTHS), il propose une relecture audacieuse, mais structurée, des conséquences profondes de ces pratiques sur l’équilibre global de l’homme. Loin des jugements moralisateurs ou des condamnations dogmatiques, ce livre se veut avant tout une contribution scientifique et thérapeutique. Il part d’un postulat fondamental : l’être humain ne se limite ni à son corps biologique ni à ses fonctions psychiques. Il est également un être énergétique et spirituel, dont les comportements, notamment sexuels, influencent directement la stabilité, la circulation et la qualité de son énergie vitale. </w:t>
      </w:r>
    </w:p>
    <w:p w14:paraId="7A5A2D4A"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Dans cette perspective, la masturbation et la consommation régulière de contenus pornographiques ne sont pas de simples actes isolés. Elles s’inscrivent dans un système d’interactions complexes 15 impliquant le corps, le mental et l’esprit. Elles peuvent engendrer, selon l’approche MTHS, une déperdition énergétique progressive, une fragilisation des mécanismes de protection spirituelle, ainsi qu’une altération durable des capacités de projection sociale et professionnelle. Ce livre explore ainsi, avec méthode et profondeur, les mécanismes invisibles par lesquels certaines pratiques sexuelles peuvent devenir des facteurs de déséquilibre. Il met en lumière des phénomènes souvent rapportés dans les parcours cliniques : fatigue inexpliquée, perte de motivation, blocages répétitifs, instabilité relationnelle, ou encore sentiment d’oppression intérieure. Autant de manifestations que la MTHS interprète comme les signes d’un affaiblissement de l’intégrité </w:t>
      </w:r>
      <w:r w:rsidRPr="00231DFC">
        <w:rPr>
          <w:rFonts w:ascii="Times New Roman" w:hAnsi="Times New Roman" w:cs="Times New Roman"/>
          <w:sz w:val="18"/>
          <w:szCs w:val="18"/>
        </w:rPr>
        <w:lastRenderedPageBreak/>
        <w:t xml:space="preserve">spirituelle. Mais au-delà du constat, cet ouvrage porte une espérance. Il ne se contente pas de décrire les dérives ; il propose un chemin de compréhension, de libération et de restauration. Il invite le lecteur à une prise de conscience lucide, à une responsabilisation personnelle, et à un engagement dans un processus de reconstruction intérieure. Car toute altération, aussi profonde soit-elle, appelle une possibilité de guérison. </w:t>
      </w:r>
    </w:p>
    <w:p w14:paraId="3B4F8430" w14:textId="77777777"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La force de ce travail réside également dans son ancrage clinique. Il s’appuie sur des observations, des expériences de terrain et des analyses structurées qui donnent à la démarche une cohérence interne et une crédibilité méthodologique. En cela, il contribue à élargir le champ des approches thérapeutiques en intégrant la dimension spirituelle comme un facteur déterminant de la santé globale. 16 Ce livre s’adresse à un public large : chercheurs, thérapeutes, accompagnateurs spirituels, mais aussi toute personne en quête de compréhension sur elle-même. Il ne prétend pas imposer une vérité absolue, mais ouvrir un espace de réflexion, de discernement et de transformation. En définitive, cette œuvre interpelle une question fondamentale : que devient l’homme lorsqu’il néglige la dimension sacrée de son énergie vitale ? Et inversement, quelle puissance de restauration </w:t>
      </w:r>
      <w:proofErr w:type="spellStart"/>
      <w:r w:rsidRPr="00231DFC">
        <w:rPr>
          <w:rFonts w:ascii="Times New Roman" w:hAnsi="Times New Roman" w:cs="Times New Roman"/>
          <w:sz w:val="18"/>
          <w:szCs w:val="18"/>
        </w:rPr>
        <w:t>peutil</w:t>
      </w:r>
      <w:proofErr w:type="spellEnd"/>
      <w:r w:rsidRPr="00231DFC">
        <w:rPr>
          <w:rFonts w:ascii="Times New Roman" w:hAnsi="Times New Roman" w:cs="Times New Roman"/>
          <w:sz w:val="18"/>
          <w:szCs w:val="18"/>
        </w:rPr>
        <w:t xml:space="preserve"> retrouver lorsqu’il rétablit l’harmonie entre son corps, son âme et son esprit ? Puissent ces pages éclairer, éveiller et guider vers une vie plus consciente, plus équilibrée et profondément restaurée. </w:t>
      </w:r>
    </w:p>
    <w:p w14:paraId="18059C26" w14:textId="7088631F" w:rsidR="00FA2B91" w:rsidRPr="00231DFC" w:rsidRDefault="00FA2B91"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L’EDITEUR</w:t>
      </w:r>
    </w:p>
    <w:p w14:paraId="2C881C9B" w14:textId="7CBE2A44" w:rsidR="00FA2B91" w:rsidRPr="00231DFC" w:rsidRDefault="00FA2B91" w:rsidP="00231DFC">
      <w:pPr>
        <w:spacing w:line="360" w:lineRule="auto"/>
        <w:jc w:val="both"/>
        <w:rPr>
          <w:rFonts w:ascii="Times New Roman" w:hAnsi="Times New Roman" w:cs="Times New Roman"/>
          <w:sz w:val="18"/>
          <w:szCs w:val="18"/>
        </w:rPr>
      </w:pPr>
      <w:r w:rsidRPr="00231DFC">
        <w:rPr>
          <w:rFonts w:ascii="Times New Roman" w:hAnsi="Times New Roman" w:cs="Times New Roman"/>
          <w:sz w:val="18"/>
          <w:szCs w:val="18"/>
        </w:rPr>
        <w:br w:type="page"/>
      </w:r>
    </w:p>
    <w:p w14:paraId="2668693E" w14:textId="1F78716E" w:rsidR="00FA2B91"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lastRenderedPageBreak/>
        <w:t>AVANT-PROPOS</w:t>
      </w:r>
    </w:p>
    <w:p w14:paraId="7AF8A1D7" w14:textId="77777777" w:rsidR="00231DFC"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Nous vivons une époque paradoxale. Jamais l’humanité n’a eu un accès aussi massif à l’information, à la connaissance et à la liberté d’expression. Et pourtant, jamais elle n’a été aussi profondément fragilisée dans son intériorité, son équilibre psychique et sa stabilité spirituelle. Au cœur de cette mutation silencieuse se trouve une révolution sexuelle diffuse, amplifiée par le numérique, qui redéfinit insidieusement les repères, les valeurs et les comportements. La pornographie, autrefois marginale et difficile d’accès, s’est aujourd’hui banalisée au point de devenir un produit de consommation courante. Accessible en quelques secondes, souvent dès le plus jeune âge, elle façonne les imaginaires, conditionne les désirs et altère progressivement la perception de la sexualité humaine. Parallèlement, la masturbation, présentée comme une pratique sans conséquence, est encouragée comme un moyen d’épanouissement personnel, de gestion du stress ou d’exploration de soi. </w:t>
      </w:r>
    </w:p>
    <w:p w14:paraId="0696C444" w14:textId="77777777" w:rsidR="00231DFC"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Mais derrière cette apparente normalisation se cache une réalité beaucoup plus complexe et préoccupante. Dans les consultations, dans les accompagnements spirituels, dans les observations empiriques de terrain, un constat récurrent s’impose : de nombreuses personnes engagées dans ces pratiques développent des formes de fragilité profonde, difficiles à expliquer uniquement par les modèles classiques de la psychologie ou de la médecine moderne. Fatigue persistante, perte de volonté, instabilité émotionnelle, échecs répétitifs, blocages socioprofessionnels, troubles re- </w:t>
      </w:r>
      <w:proofErr w:type="spellStart"/>
      <w:r w:rsidRPr="00231DFC">
        <w:rPr>
          <w:rFonts w:ascii="Times New Roman" w:hAnsi="Times New Roman" w:cs="Times New Roman"/>
          <w:sz w:val="18"/>
          <w:szCs w:val="18"/>
        </w:rPr>
        <w:t>lationnels</w:t>
      </w:r>
      <w:proofErr w:type="spellEnd"/>
      <w:r w:rsidRPr="00231DFC">
        <w:rPr>
          <w:rFonts w:ascii="Times New Roman" w:hAnsi="Times New Roman" w:cs="Times New Roman"/>
          <w:sz w:val="18"/>
          <w:szCs w:val="18"/>
        </w:rPr>
        <w:t xml:space="preserve">… autant de manifestations qui semblent dépasser le cadre strictement biologique ou psychique. C’est précisément dans cet espace d’incompréhension que s’inscrit la démarche de la Médecine Traditionnelle des Handicapés Spirituels (MTHS). </w:t>
      </w:r>
    </w:p>
    <w:p w14:paraId="0DA141C9" w14:textId="77777777" w:rsidR="00231DFC"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La MTHS propose une lecture différente, plus globale, intégrant la dimension énergétique et spirituelle de l’être humain. Elle postule que certains comportements, notamment dans le domaine de la sexualité, peuvent engendrer des déséquilibres invisibles, mais réels, affectant la structure </w:t>
      </w:r>
      <w:r w:rsidRPr="00231DFC">
        <w:rPr>
          <w:rFonts w:ascii="Times New Roman" w:hAnsi="Times New Roman" w:cs="Times New Roman"/>
          <w:sz w:val="18"/>
          <w:szCs w:val="18"/>
        </w:rPr>
        <w:lastRenderedPageBreak/>
        <w:t xml:space="preserve">profonde de l’individu. Dans cette perspective, la masturbation compulsive et la consommation régulière de pornographie ne sont pas neutres : elles participent à une dynamique de déperdition énergétique, d’altération du champ spirituel et d’ouverture à diverses formes de vulnérabilités. Ce positionnement peut déranger. Il peut heurter les sensibilités contemporaines, habituées à dissocier la sexualité de toute responsabilité spirituelle. </w:t>
      </w:r>
    </w:p>
    <w:p w14:paraId="2E7C26FA" w14:textId="77777777" w:rsidR="00231DFC"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Il peut également susciter des résistances, tant le discours dominant tend à banaliser, voire à promouvoir ces pratiques. Mais il est nécessaire. Car toute société qui refuse d’interroger ses propres dérives finit par en subir les conséquences. Cet ouvrage est né d’une urgence : celle de comprendre, d’expliquer et d’alerter. Il ne s’agit pas de condamner l’individu, ni de culpabiliser, mais de révéler des mécanismes souvent ignorés, afin de permettre une prise de conscience éclairée. Il s’agit de redonner à la sexualité sa dimension de puissance, de responsabilité et de sacralité. En abordant des notions telles que la décharge d’énergie vitale, les maladies mystiques ou encore les blocages socioprofessionnels, ce livre ouvre un champ de réflexion encore peu exploré dans les approches académiques classiques. Il s’appuie sur une expérience clinique, sur des observations répétées et sur une grille d’analyse cohérente, propre à la MTHS. Le lecteur est ainsi invité à dépasser les idées reçues, à questionner ses habitudes et à explorer une compréhension plus profonde de lui-même. Ce chemin peut être exigeant, parfois inconfortable, mais il est porteur de transformation.</w:t>
      </w:r>
    </w:p>
    <w:p w14:paraId="3D69BB6C" w14:textId="51406554" w:rsidR="00231DFC" w:rsidRPr="00231DFC" w:rsidRDefault="00231DFC" w:rsidP="00231DFC">
      <w:pPr>
        <w:spacing w:line="360" w:lineRule="auto"/>
        <w:ind w:firstLine="708"/>
        <w:jc w:val="both"/>
        <w:rPr>
          <w:rFonts w:ascii="Times New Roman" w:hAnsi="Times New Roman" w:cs="Times New Roman"/>
          <w:sz w:val="18"/>
          <w:szCs w:val="18"/>
        </w:rPr>
      </w:pPr>
      <w:r w:rsidRPr="00231DFC">
        <w:rPr>
          <w:rFonts w:ascii="Times New Roman" w:hAnsi="Times New Roman" w:cs="Times New Roman"/>
          <w:sz w:val="18"/>
          <w:szCs w:val="18"/>
        </w:rPr>
        <w:t xml:space="preserve">Car comprendre, c’est déjà commencer à se libérer. Plus qu’un simple ouvrage d’analyse, ce livre se veut un outil de réveil, un instrument de discernement et un guide vers la restauration intérieure. Il s’adresse à tous ceux qui refusent de vivre dans l’ignorance de leur propre réalité, et qui aspirent à une vie alignée, équilibrée et pleinement consciente. Il est temps d’ouvrir les yeux sur ce qui se joue dans l’invisible. </w:t>
      </w:r>
    </w:p>
    <w:sectPr w:rsidR="00231DFC" w:rsidRPr="00231DFC" w:rsidSect="00231DFC">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91"/>
    <w:rsid w:val="001552F7"/>
    <w:rsid w:val="00186A94"/>
    <w:rsid w:val="001C499D"/>
    <w:rsid w:val="00231DFC"/>
    <w:rsid w:val="00A26E6B"/>
    <w:rsid w:val="00B04921"/>
    <w:rsid w:val="00EB12DD"/>
    <w:rsid w:val="00F839F1"/>
    <w:rsid w:val="00FA2B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DA43"/>
  <w15:chartTrackingRefBased/>
  <w15:docId w15:val="{EBCF9BBE-89C7-4FE5-BF7D-EF65483F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2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A2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A2B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A2B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A2B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A2B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2B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2B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2B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2B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A2B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A2B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A2B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A2B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A2B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2B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2B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2B91"/>
    <w:rPr>
      <w:rFonts w:eastAsiaTheme="majorEastAsia" w:cstheme="majorBidi"/>
      <w:color w:val="272727" w:themeColor="text1" w:themeTint="D8"/>
    </w:rPr>
  </w:style>
  <w:style w:type="paragraph" w:styleId="Titre">
    <w:name w:val="Title"/>
    <w:basedOn w:val="Normal"/>
    <w:next w:val="Normal"/>
    <w:link w:val="TitreCar"/>
    <w:uiPriority w:val="10"/>
    <w:qFormat/>
    <w:rsid w:val="00FA2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2B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2B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2B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2B91"/>
    <w:pPr>
      <w:spacing w:before="160"/>
      <w:jc w:val="center"/>
    </w:pPr>
    <w:rPr>
      <w:i/>
      <w:iCs/>
      <w:color w:val="404040" w:themeColor="text1" w:themeTint="BF"/>
    </w:rPr>
  </w:style>
  <w:style w:type="character" w:customStyle="1" w:styleId="CitationCar">
    <w:name w:val="Citation Car"/>
    <w:basedOn w:val="Policepardfaut"/>
    <w:link w:val="Citation"/>
    <w:uiPriority w:val="29"/>
    <w:rsid w:val="00FA2B91"/>
    <w:rPr>
      <w:i/>
      <w:iCs/>
      <w:color w:val="404040" w:themeColor="text1" w:themeTint="BF"/>
    </w:rPr>
  </w:style>
  <w:style w:type="paragraph" w:styleId="Paragraphedeliste">
    <w:name w:val="List Paragraph"/>
    <w:basedOn w:val="Normal"/>
    <w:uiPriority w:val="34"/>
    <w:qFormat/>
    <w:rsid w:val="00FA2B91"/>
    <w:pPr>
      <w:ind w:left="720"/>
      <w:contextualSpacing/>
    </w:pPr>
  </w:style>
  <w:style w:type="character" w:styleId="Accentuationintense">
    <w:name w:val="Intense Emphasis"/>
    <w:basedOn w:val="Policepardfaut"/>
    <w:uiPriority w:val="21"/>
    <w:qFormat/>
    <w:rsid w:val="00FA2B91"/>
    <w:rPr>
      <w:i/>
      <w:iCs/>
      <w:color w:val="2F5496" w:themeColor="accent1" w:themeShade="BF"/>
    </w:rPr>
  </w:style>
  <w:style w:type="paragraph" w:styleId="Citationintense">
    <w:name w:val="Intense Quote"/>
    <w:basedOn w:val="Normal"/>
    <w:next w:val="Normal"/>
    <w:link w:val="CitationintenseCar"/>
    <w:uiPriority w:val="30"/>
    <w:qFormat/>
    <w:rsid w:val="00FA2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A2B91"/>
    <w:rPr>
      <w:i/>
      <w:iCs/>
      <w:color w:val="2F5496" w:themeColor="accent1" w:themeShade="BF"/>
    </w:rPr>
  </w:style>
  <w:style w:type="character" w:styleId="Rfrenceintense">
    <w:name w:val="Intense Reference"/>
    <w:basedOn w:val="Policepardfaut"/>
    <w:uiPriority w:val="32"/>
    <w:qFormat/>
    <w:rsid w:val="00FA2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2003</Words>
  <Characters>11018</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2026-07-20T08:32:00Z</dcterms:created>
  <dcterms:modified xsi:type="dcterms:W3CDTF">2026-07-20T08:47:00Z</dcterms:modified>
</cp:coreProperties>
</file>