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6FC76" w14:textId="77777777" w:rsidR="00D426B0" w:rsidRDefault="00D426B0" w:rsidP="00D426B0">
      <w:pPr>
        <w:spacing w:line="360" w:lineRule="auto"/>
        <w:jc w:val="both"/>
        <w:rPr>
          <w:rFonts w:ascii="Times New Roman" w:hAnsi="Times New Roman" w:cs="Times New Roman"/>
          <w:sz w:val="18"/>
          <w:szCs w:val="18"/>
        </w:rPr>
      </w:pPr>
    </w:p>
    <w:p w14:paraId="06032B24" w14:textId="77777777" w:rsidR="00D426B0" w:rsidRDefault="00D426B0" w:rsidP="00D426B0">
      <w:pPr>
        <w:spacing w:line="360" w:lineRule="auto"/>
        <w:jc w:val="both"/>
        <w:rPr>
          <w:rFonts w:ascii="Times New Roman" w:hAnsi="Times New Roman" w:cs="Times New Roman"/>
          <w:sz w:val="18"/>
          <w:szCs w:val="18"/>
        </w:rPr>
      </w:pPr>
    </w:p>
    <w:p w14:paraId="43B47D71" w14:textId="77777777" w:rsidR="00D426B0" w:rsidRDefault="00D426B0" w:rsidP="00D426B0">
      <w:pPr>
        <w:spacing w:line="360" w:lineRule="auto"/>
        <w:jc w:val="both"/>
        <w:rPr>
          <w:rFonts w:ascii="Times New Roman" w:hAnsi="Times New Roman" w:cs="Times New Roman"/>
          <w:sz w:val="18"/>
          <w:szCs w:val="18"/>
        </w:rPr>
      </w:pPr>
    </w:p>
    <w:p w14:paraId="0A7982FB" w14:textId="77777777" w:rsidR="00D426B0" w:rsidRDefault="00D426B0" w:rsidP="00D426B0">
      <w:pPr>
        <w:spacing w:line="360" w:lineRule="auto"/>
        <w:jc w:val="both"/>
        <w:rPr>
          <w:rFonts w:ascii="Times New Roman" w:hAnsi="Times New Roman" w:cs="Times New Roman"/>
          <w:sz w:val="18"/>
          <w:szCs w:val="18"/>
        </w:rPr>
      </w:pPr>
    </w:p>
    <w:p w14:paraId="618E7CFA" w14:textId="77777777" w:rsidR="00D426B0" w:rsidRDefault="00D426B0" w:rsidP="00D426B0">
      <w:pPr>
        <w:spacing w:line="360" w:lineRule="auto"/>
        <w:jc w:val="both"/>
        <w:rPr>
          <w:rFonts w:ascii="Times New Roman" w:hAnsi="Times New Roman" w:cs="Times New Roman"/>
          <w:sz w:val="18"/>
          <w:szCs w:val="18"/>
        </w:rPr>
      </w:pPr>
    </w:p>
    <w:p w14:paraId="5FDC1832" w14:textId="72A29080" w:rsidR="00051DC6" w:rsidRPr="00D426B0" w:rsidRDefault="00051DC6" w:rsidP="00D426B0">
      <w:pPr>
        <w:spacing w:line="360" w:lineRule="auto"/>
        <w:jc w:val="both"/>
        <w:rPr>
          <w:rFonts w:ascii="Times New Roman" w:hAnsi="Times New Roman" w:cs="Times New Roman"/>
          <w:sz w:val="18"/>
          <w:szCs w:val="18"/>
        </w:rPr>
      </w:pPr>
      <w:r w:rsidRPr="00D426B0">
        <w:rPr>
          <w:rFonts w:ascii="Times New Roman" w:hAnsi="Times New Roman" w:cs="Times New Roman"/>
          <w:sz w:val="18"/>
          <w:szCs w:val="18"/>
        </w:rPr>
        <w:t xml:space="preserve">LA GUERRE DES SPIRITUALITÉS EN AFRIQUE </w:t>
      </w:r>
    </w:p>
    <w:p w14:paraId="463968B7" w14:textId="77777777" w:rsid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 xml:space="preserve">Fondements spirituels et luttes de leadership entre les religions du décalogue, les religions traditionnelles africaines et les loges secrètes occidentales (Rose-croix, </w:t>
      </w:r>
      <w:proofErr w:type="spellStart"/>
      <w:r w:rsidRPr="00D426B0">
        <w:rPr>
          <w:rFonts w:ascii="Times New Roman" w:hAnsi="Times New Roman" w:cs="Times New Roman"/>
          <w:sz w:val="18"/>
          <w:szCs w:val="18"/>
        </w:rPr>
        <w:t>franc-maconnerie</w:t>
      </w:r>
      <w:proofErr w:type="spellEnd"/>
      <w:r w:rsidRPr="00D426B0">
        <w:rPr>
          <w:rFonts w:ascii="Times New Roman" w:hAnsi="Times New Roman" w:cs="Times New Roman"/>
          <w:sz w:val="18"/>
          <w:szCs w:val="18"/>
        </w:rPr>
        <w:t xml:space="preserve">, </w:t>
      </w:r>
      <w:proofErr w:type="spellStart"/>
      <w:r w:rsidRPr="00D426B0">
        <w:rPr>
          <w:rFonts w:ascii="Times New Roman" w:hAnsi="Times New Roman" w:cs="Times New Roman"/>
          <w:sz w:val="18"/>
          <w:szCs w:val="18"/>
        </w:rPr>
        <w:t>etc</w:t>
      </w:r>
      <w:proofErr w:type="spellEnd"/>
      <w:r w:rsidRPr="00D426B0">
        <w:rPr>
          <w:rFonts w:ascii="Times New Roman" w:hAnsi="Times New Roman" w:cs="Times New Roman"/>
          <w:sz w:val="18"/>
          <w:szCs w:val="18"/>
        </w:rPr>
        <w:t xml:space="preserve">) </w:t>
      </w:r>
    </w:p>
    <w:p w14:paraId="19993133" w14:textId="325D740A"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Approche clinique de la Médecine Traditionnelle des Handicapés Spirituels (MTHS)</w:t>
      </w:r>
    </w:p>
    <w:p w14:paraId="6495BF63" w14:textId="77777777" w:rsidR="00051DC6" w:rsidRPr="00D426B0" w:rsidRDefault="00051DC6" w:rsidP="00D426B0">
      <w:pPr>
        <w:spacing w:line="360" w:lineRule="auto"/>
        <w:jc w:val="both"/>
        <w:rPr>
          <w:rFonts w:ascii="Times New Roman" w:hAnsi="Times New Roman" w:cs="Times New Roman"/>
          <w:sz w:val="18"/>
          <w:szCs w:val="18"/>
        </w:rPr>
      </w:pPr>
    </w:p>
    <w:p w14:paraId="316E3BF0" w14:textId="77777777" w:rsidR="00051DC6" w:rsidRPr="00D426B0" w:rsidRDefault="00051DC6" w:rsidP="00D426B0">
      <w:pPr>
        <w:spacing w:line="360" w:lineRule="auto"/>
        <w:jc w:val="both"/>
        <w:rPr>
          <w:rFonts w:ascii="Times New Roman" w:hAnsi="Times New Roman" w:cs="Times New Roman"/>
          <w:sz w:val="18"/>
          <w:szCs w:val="18"/>
        </w:rPr>
      </w:pPr>
    </w:p>
    <w:p w14:paraId="7BF47EB1" w14:textId="32639595" w:rsidR="00051DC6" w:rsidRPr="00D426B0" w:rsidRDefault="00051DC6" w:rsidP="00D426B0">
      <w:pPr>
        <w:spacing w:line="360" w:lineRule="auto"/>
        <w:jc w:val="both"/>
        <w:rPr>
          <w:rFonts w:ascii="Times New Roman" w:hAnsi="Times New Roman" w:cs="Times New Roman"/>
          <w:sz w:val="18"/>
          <w:szCs w:val="18"/>
        </w:rPr>
      </w:pPr>
      <w:r w:rsidRPr="00D426B0">
        <w:rPr>
          <w:rFonts w:ascii="Times New Roman" w:hAnsi="Times New Roman" w:cs="Times New Roman"/>
          <w:sz w:val="18"/>
          <w:szCs w:val="18"/>
        </w:rPr>
        <w:br w:type="page"/>
      </w:r>
      <w:r w:rsidRPr="00D426B0">
        <w:rPr>
          <w:rFonts w:ascii="Times New Roman" w:hAnsi="Times New Roman" w:cs="Times New Roman"/>
          <w:sz w:val="18"/>
          <w:szCs w:val="18"/>
        </w:rPr>
        <w:lastRenderedPageBreak/>
        <w:t>SOMMAIRE</w:t>
      </w:r>
    </w:p>
    <w:p w14:paraId="56BA52BE"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 xml:space="preserve">Préface……………………………………………………………………………P.07 </w:t>
      </w:r>
    </w:p>
    <w:p w14:paraId="6F79243B"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Avant-propos………………………………………………………………</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P.10 Introduction………………………………………………………………………P.22 </w:t>
      </w:r>
    </w:p>
    <w:p w14:paraId="00E66705"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Partie-I : Fondements cliniques de la guerre des spiritualités…</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.P.35 </w:t>
      </w:r>
    </w:p>
    <w:p w14:paraId="1435A97C"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Chapitre-</w:t>
      </w:r>
      <w:proofErr w:type="gramStart"/>
      <w:r w:rsidRPr="00D426B0">
        <w:rPr>
          <w:rFonts w:ascii="Times New Roman" w:hAnsi="Times New Roman" w:cs="Times New Roman"/>
          <w:sz w:val="16"/>
          <w:szCs w:val="16"/>
        </w:rPr>
        <w:t>I:</w:t>
      </w:r>
      <w:proofErr w:type="gramEnd"/>
      <w:r w:rsidRPr="00D426B0">
        <w:rPr>
          <w:rFonts w:ascii="Times New Roman" w:hAnsi="Times New Roman" w:cs="Times New Roman"/>
          <w:sz w:val="16"/>
          <w:szCs w:val="16"/>
        </w:rPr>
        <w:t xml:space="preserve"> Qu’est-ce qu’une guerre spirituelle ?........................................P.36 </w:t>
      </w:r>
    </w:p>
    <w:p w14:paraId="2F3296FA"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Chapitre-II : La notion de leadership spirituel…………………</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P.43 </w:t>
      </w:r>
    </w:p>
    <w:p w14:paraId="64FC063B"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Chapitre-</w:t>
      </w:r>
      <w:proofErr w:type="gramStart"/>
      <w:r w:rsidRPr="00D426B0">
        <w:rPr>
          <w:rFonts w:ascii="Times New Roman" w:hAnsi="Times New Roman" w:cs="Times New Roman"/>
          <w:sz w:val="16"/>
          <w:szCs w:val="16"/>
        </w:rPr>
        <w:t>III:</w:t>
      </w:r>
      <w:proofErr w:type="gramEnd"/>
      <w:r w:rsidRPr="00D426B0">
        <w:rPr>
          <w:rFonts w:ascii="Times New Roman" w:hAnsi="Times New Roman" w:cs="Times New Roman"/>
          <w:sz w:val="16"/>
          <w:szCs w:val="16"/>
        </w:rPr>
        <w:t xml:space="preserve"> Le handicap spirituel comme terrain de conquête……………P.50 </w:t>
      </w:r>
    </w:p>
    <w:p w14:paraId="03055EA2"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Partie-</w:t>
      </w:r>
      <w:proofErr w:type="gramStart"/>
      <w:r w:rsidRPr="00D426B0">
        <w:rPr>
          <w:rFonts w:ascii="Times New Roman" w:hAnsi="Times New Roman" w:cs="Times New Roman"/>
          <w:sz w:val="16"/>
          <w:szCs w:val="16"/>
        </w:rPr>
        <w:t>II:</w:t>
      </w:r>
      <w:proofErr w:type="gramEnd"/>
      <w:r w:rsidRPr="00D426B0">
        <w:rPr>
          <w:rFonts w:ascii="Times New Roman" w:hAnsi="Times New Roman" w:cs="Times New Roman"/>
          <w:sz w:val="16"/>
          <w:szCs w:val="16"/>
        </w:rPr>
        <w:t xml:space="preserve"> Les religions du décalogue en Afrique : mission, pouvoir et dérives…………………………………………………………………</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P.58 </w:t>
      </w:r>
    </w:p>
    <w:p w14:paraId="6D99F8AB"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Chapitre-IV : Implantation historique des religions du décalogue en Afrique…………………………………………………………………</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P.59 </w:t>
      </w:r>
    </w:p>
    <w:p w14:paraId="741F5692"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 xml:space="preserve">Chapitre- </w:t>
      </w:r>
      <w:proofErr w:type="gramStart"/>
      <w:r w:rsidRPr="00D426B0">
        <w:rPr>
          <w:rFonts w:ascii="Times New Roman" w:hAnsi="Times New Roman" w:cs="Times New Roman"/>
          <w:sz w:val="16"/>
          <w:szCs w:val="16"/>
        </w:rPr>
        <w:t>V:</w:t>
      </w:r>
      <w:proofErr w:type="gramEnd"/>
      <w:r w:rsidRPr="00D426B0">
        <w:rPr>
          <w:rFonts w:ascii="Times New Roman" w:hAnsi="Times New Roman" w:cs="Times New Roman"/>
          <w:sz w:val="16"/>
          <w:szCs w:val="16"/>
        </w:rPr>
        <w:t xml:space="preserve"> Apports spirituels et structures de guérison……………</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P.66 </w:t>
      </w:r>
    </w:p>
    <w:p w14:paraId="1AE1DA7C"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 xml:space="preserve">Chapitre-VI : Dérives de leadership et pathologies spirituelles…………...P.73 </w:t>
      </w:r>
    </w:p>
    <w:p w14:paraId="1D3A0CE7"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Partie-III : Les religions traditionnelles africaines : racines, pouvoirs et ambiguïtés…………………………………………………</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P.80 </w:t>
      </w:r>
    </w:p>
    <w:p w14:paraId="42269459"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Chapitre-</w:t>
      </w:r>
      <w:proofErr w:type="gramStart"/>
      <w:r w:rsidRPr="00D426B0">
        <w:rPr>
          <w:rFonts w:ascii="Times New Roman" w:hAnsi="Times New Roman" w:cs="Times New Roman"/>
          <w:sz w:val="16"/>
          <w:szCs w:val="16"/>
        </w:rPr>
        <w:t>VII:</w:t>
      </w:r>
      <w:proofErr w:type="gramEnd"/>
      <w:r w:rsidRPr="00D426B0">
        <w:rPr>
          <w:rFonts w:ascii="Times New Roman" w:hAnsi="Times New Roman" w:cs="Times New Roman"/>
          <w:sz w:val="16"/>
          <w:szCs w:val="16"/>
        </w:rPr>
        <w:t xml:space="preserve"> Fondements spirituels des religions traditionnelles africaines………………………………………………………………………...P.81 </w:t>
      </w:r>
    </w:p>
    <w:p w14:paraId="2D0E9BA0"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Chapitre-VIII : Médecine traditionnelle et spiritualité africaine………</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.P.89 </w:t>
      </w:r>
    </w:p>
    <w:p w14:paraId="3A6F8A90"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Chapitre-</w:t>
      </w:r>
      <w:proofErr w:type="gramStart"/>
      <w:r w:rsidRPr="00D426B0">
        <w:rPr>
          <w:rFonts w:ascii="Times New Roman" w:hAnsi="Times New Roman" w:cs="Times New Roman"/>
          <w:sz w:val="16"/>
          <w:szCs w:val="16"/>
        </w:rPr>
        <w:t>IX:</w:t>
      </w:r>
      <w:proofErr w:type="gramEnd"/>
      <w:r w:rsidRPr="00D426B0">
        <w:rPr>
          <w:rFonts w:ascii="Times New Roman" w:hAnsi="Times New Roman" w:cs="Times New Roman"/>
          <w:sz w:val="16"/>
          <w:szCs w:val="16"/>
        </w:rPr>
        <w:t xml:space="preserve"> Dérives initiatiques et captivité spirituelle………………</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.P.94 </w:t>
      </w:r>
    </w:p>
    <w:p w14:paraId="40C317D8"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Partie-IV : Loges secrètes occidentales et l’Afrique : pouvoir symbolique et influence………………………………………………</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P.102 </w:t>
      </w:r>
    </w:p>
    <w:p w14:paraId="3A79D552"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Chapitre-</w:t>
      </w:r>
      <w:proofErr w:type="gramStart"/>
      <w:r w:rsidRPr="00D426B0">
        <w:rPr>
          <w:rFonts w:ascii="Times New Roman" w:hAnsi="Times New Roman" w:cs="Times New Roman"/>
          <w:sz w:val="16"/>
          <w:szCs w:val="16"/>
        </w:rPr>
        <w:t>X:</w:t>
      </w:r>
      <w:proofErr w:type="gramEnd"/>
      <w:r w:rsidRPr="00D426B0">
        <w:rPr>
          <w:rFonts w:ascii="Times New Roman" w:hAnsi="Times New Roman" w:cs="Times New Roman"/>
          <w:sz w:val="16"/>
          <w:szCs w:val="16"/>
        </w:rPr>
        <w:t xml:space="preserve"> Présentation générale des loges et sociétés initiatiques occidentales…………………………………………………………………...P.103 </w:t>
      </w:r>
    </w:p>
    <w:p w14:paraId="74FA6AD0"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Chapitre-</w:t>
      </w:r>
      <w:proofErr w:type="gramStart"/>
      <w:r w:rsidRPr="00D426B0">
        <w:rPr>
          <w:rFonts w:ascii="Times New Roman" w:hAnsi="Times New Roman" w:cs="Times New Roman"/>
          <w:sz w:val="16"/>
          <w:szCs w:val="16"/>
        </w:rPr>
        <w:t>XI:</w:t>
      </w:r>
      <w:proofErr w:type="gramEnd"/>
      <w:r w:rsidRPr="00D426B0">
        <w:rPr>
          <w:rFonts w:ascii="Times New Roman" w:hAnsi="Times New Roman" w:cs="Times New Roman"/>
          <w:sz w:val="16"/>
          <w:szCs w:val="16"/>
        </w:rPr>
        <w:t xml:space="preserve"> Implantation et influence en Afrique : Élites, pouvoir, réseaux et imaginaire collectif…………………………………………</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P.111 </w:t>
      </w:r>
    </w:p>
    <w:p w14:paraId="56A81343"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lastRenderedPageBreak/>
        <w:t>Chapitre-XII : Impacts cliniques et spirituels…………………………</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P.121 </w:t>
      </w:r>
    </w:p>
    <w:p w14:paraId="24AD9BB9"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 xml:space="preserve">Partie-V : Zones de conflits et syncrétismes spirituels ……………...P.130 </w:t>
      </w:r>
    </w:p>
    <w:p w14:paraId="170EC991"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Chapitre-XIII : L’Africain au carrefour des spiritualités………………</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P.131 </w:t>
      </w:r>
    </w:p>
    <w:p w14:paraId="0FAA082E"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Chapitre-</w:t>
      </w:r>
      <w:proofErr w:type="gramStart"/>
      <w:r w:rsidRPr="00D426B0">
        <w:rPr>
          <w:rFonts w:ascii="Times New Roman" w:hAnsi="Times New Roman" w:cs="Times New Roman"/>
          <w:sz w:val="16"/>
          <w:szCs w:val="16"/>
        </w:rPr>
        <w:t>XIV:</w:t>
      </w:r>
      <w:proofErr w:type="gramEnd"/>
      <w:r w:rsidRPr="00D426B0">
        <w:rPr>
          <w:rFonts w:ascii="Times New Roman" w:hAnsi="Times New Roman" w:cs="Times New Roman"/>
          <w:sz w:val="16"/>
          <w:szCs w:val="16"/>
        </w:rPr>
        <w:t xml:space="preserve"> Syncrétisme : adaptation ou pathologie ?..........................P.140 </w:t>
      </w:r>
    </w:p>
    <w:p w14:paraId="24F6F0F3"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 xml:space="preserve">Chapitre-XV : Familles, communautés et nations spirituellement fragmentées……………………………………………………………………P.149 </w:t>
      </w:r>
    </w:p>
    <w:p w14:paraId="2E27B6D8"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 xml:space="preserve">Partie-VI : Approche clinique de la MTHS : Diagnostic et lecture thérapeutique………………………………………………………………...P.157 </w:t>
      </w:r>
    </w:p>
    <w:p w14:paraId="063FEA75"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Chapitre-XVI : Diagnostic clinique des handicaps spirituels………</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.P.158 </w:t>
      </w:r>
    </w:p>
    <w:p w14:paraId="1FA43A93"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Chapitre-</w:t>
      </w:r>
      <w:proofErr w:type="gramStart"/>
      <w:r w:rsidRPr="00D426B0">
        <w:rPr>
          <w:rFonts w:ascii="Times New Roman" w:hAnsi="Times New Roman" w:cs="Times New Roman"/>
          <w:sz w:val="16"/>
          <w:szCs w:val="16"/>
        </w:rPr>
        <w:t>XVII:</w:t>
      </w:r>
      <w:proofErr w:type="gramEnd"/>
      <w:r w:rsidRPr="00D426B0">
        <w:rPr>
          <w:rFonts w:ascii="Times New Roman" w:hAnsi="Times New Roman" w:cs="Times New Roman"/>
          <w:sz w:val="16"/>
          <w:szCs w:val="16"/>
        </w:rPr>
        <w:t xml:space="preserve"> Typologie des handicaps spirituels liés à la guerre des spiritualités………………………………………………………………</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 xml:space="preserve">.P.169 </w:t>
      </w:r>
    </w:p>
    <w:p w14:paraId="7C92F53E"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 xml:space="preserve">Partie-VII : Pistes de guérison et de réconciliation spirituelle………P.177 </w:t>
      </w:r>
    </w:p>
    <w:p w14:paraId="57FD0D49"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 xml:space="preserve">Chapitre-XVIII : Restaurer la souveraineté spirituelle de l’Africain………P.178 </w:t>
      </w:r>
    </w:p>
    <w:p w14:paraId="175942B5"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 xml:space="preserve">Chapitre-XIX :la médecine traditionnelle des handicapés spirituels (MTHS)……………………………………………………………...P.186 </w:t>
      </w:r>
    </w:p>
    <w:p w14:paraId="5BDBF486" w14:textId="77777777"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Chapitre-</w:t>
      </w:r>
      <w:proofErr w:type="gramStart"/>
      <w:r w:rsidRPr="00D426B0">
        <w:rPr>
          <w:rFonts w:ascii="Times New Roman" w:hAnsi="Times New Roman" w:cs="Times New Roman"/>
          <w:sz w:val="16"/>
          <w:szCs w:val="16"/>
        </w:rPr>
        <w:t>XX:</w:t>
      </w:r>
      <w:proofErr w:type="gramEnd"/>
      <w:r w:rsidRPr="00D426B0">
        <w:rPr>
          <w:rFonts w:ascii="Times New Roman" w:hAnsi="Times New Roman" w:cs="Times New Roman"/>
          <w:sz w:val="16"/>
          <w:szCs w:val="16"/>
        </w:rPr>
        <w:t xml:space="preserve"> Vers une paix spirituelle en Afrique…………………………P.198 </w:t>
      </w:r>
    </w:p>
    <w:p w14:paraId="1673BF06" w14:textId="2CAF76FB"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t>Conclusion générale…………………………………………………</w:t>
      </w:r>
      <w:proofErr w:type="gramStart"/>
      <w:r w:rsidRPr="00D426B0">
        <w:rPr>
          <w:rFonts w:ascii="Times New Roman" w:hAnsi="Times New Roman" w:cs="Times New Roman"/>
          <w:sz w:val="16"/>
          <w:szCs w:val="16"/>
        </w:rPr>
        <w:t>…….</w:t>
      </w:r>
      <w:proofErr w:type="gramEnd"/>
      <w:r w:rsidRPr="00D426B0">
        <w:rPr>
          <w:rFonts w:ascii="Times New Roman" w:hAnsi="Times New Roman" w:cs="Times New Roman"/>
          <w:sz w:val="16"/>
          <w:szCs w:val="16"/>
        </w:rPr>
        <w:t>.P.208</w:t>
      </w:r>
    </w:p>
    <w:p w14:paraId="2233ECC5" w14:textId="3D0F096C" w:rsidR="00051DC6" w:rsidRPr="00D426B0" w:rsidRDefault="00051DC6" w:rsidP="00D426B0">
      <w:pPr>
        <w:spacing w:line="360" w:lineRule="auto"/>
        <w:jc w:val="both"/>
        <w:rPr>
          <w:rFonts w:ascii="Times New Roman" w:hAnsi="Times New Roman" w:cs="Times New Roman"/>
          <w:sz w:val="16"/>
          <w:szCs w:val="16"/>
        </w:rPr>
      </w:pPr>
      <w:r w:rsidRPr="00D426B0">
        <w:rPr>
          <w:rFonts w:ascii="Times New Roman" w:hAnsi="Times New Roman" w:cs="Times New Roman"/>
          <w:sz w:val="16"/>
          <w:szCs w:val="16"/>
        </w:rPr>
        <w:br w:type="page"/>
      </w:r>
    </w:p>
    <w:p w14:paraId="04E9557F" w14:textId="5BBB515A" w:rsidR="00051DC6" w:rsidRPr="00D426B0" w:rsidRDefault="00051DC6" w:rsidP="00D426B0">
      <w:pPr>
        <w:spacing w:line="360" w:lineRule="auto"/>
        <w:jc w:val="both"/>
        <w:rPr>
          <w:rFonts w:ascii="Times New Roman" w:hAnsi="Times New Roman" w:cs="Times New Roman"/>
          <w:sz w:val="18"/>
          <w:szCs w:val="18"/>
        </w:rPr>
      </w:pPr>
      <w:r w:rsidRPr="00D426B0">
        <w:rPr>
          <w:rFonts w:ascii="Times New Roman" w:hAnsi="Times New Roman" w:cs="Times New Roman"/>
          <w:sz w:val="18"/>
          <w:szCs w:val="18"/>
        </w:rPr>
        <w:lastRenderedPageBreak/>
        <w:t>PREFACE</w:t>
      </w:r>
    </w:p>
    <w:p w14:paraId="735C2C4F"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 xml:space="preserve">L’Afrique contemporaine est le théâtre d’une agitation invisible mais profonde : une guerre des spiritualités. Cette guerre ne se livre ni avec des armes conventionnelles ni sur des champs de bataille déclarés. Elle se déploie dans les consciences, les lignées familiales, les cultures, les corps et les âmes. Elle traverse les religions, infiltre les traditions, fragilise les communautés et façonne, souvent à leur insu, les trajectoires individuelles et collectives des peuples africains. </w:t>
      </w:r>
    </w:p>
    <w:p w14:paraId="27E150FB"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 xml:space="preserve">L’ouvrage que tu tiens entre tes mains, LA GUERRE DES SPIRITUALITÉS EN AFRIQUE, ose nommer cette réalité complexe, sensible et souvent taboue. Il ne s’agit ni d’un pamphlet idéologique, ni d’un procès des religions, encore moins d’une apologie de quelque tradition que ce soit. Il s’agit d’un travail de discernement, d’analyse et de soin, inscrit dans une approche clinique de la Médecine Traditionnelle des Handicapés Spirituels (MTHS), enracinée dans l’anthropologie médicale africaine et éclairée par une théologie chrétienne </w:t>
      </w:r>
      <w:proofErr w:type="spellStart"/>
      <w:r w:rsidRPr="00D426B0">
        <w:rPr>
          <w:rFonts w:ascii="Times New Roman" w:hAnsi="Times New Roman" w:cs="Times New Roman"/>
          <w:sz w:val="18"/>
          <w:szCs w:val="18"/>
        </w:rPr>
        <w:t>inculturée</w:t>
      </w:r>
      <w:proofErr w:type="spellEnd"/>
      <w:r w:rsidRPr="00D426B0">
        <w:rPr>
          <w:rFonts w:ascii="Times New Roman" w:hAnsi="Times New Roman" w:cs="Times New Roman"/>
          <w:sz w:val="18"/>
          <w:szCs w:val="18"/>
        </w:rPr>
        <w:t xml:space="preserve">, responsable et non dominatrice. Depuis plusieurs décennies, l’Afrique est le lieu d’une cohabitation parfois féconde, parfois conflictuelle, entre trois grands pôles </w:t>
      </w:r>
      <w:proofErr w:type="gramStart"/>
      <w:r w:rsidRPr="00D426B0">
        <w:rPr>
          <w:rFonts w:ascii="Times New Roman" w:hAnsi="Times New Roman" w:cs="Times New Roman"/>
          <w:sz w:val="18"/>
          <w:szCs w:val="18"/>
        </w:rPr>
        <w:t>spirituels:</w:t>
      </w:r>
      <w:proofErr w:type="gramEnd"/>
      <w:r w:rsidRPr="00D426B0">
        <w:rPr>
          <w:rFonts w:ascii="Times New Roman" w:hAnsi="Times New Roman" w:cs="Times New Roman"/>
          <w:sz w:val="18"/>
          <w:szCs w:val="18"/>
        </w:rPr>
        <w:t xml:space="preserve"> </w:t>
      </w:r>
    </w:p>
    <w:p w14:paraId="12AC2985" w14:textId="71C18391"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sym w:font="Symbol" w:char="F0B7"/>
      </w:r>
      <w:r w:rsidRPr="00D426B0">
        <w:rPr>
          <w:rFonts w:ascii="Times New Roman" w:hAnsi="Times New Roman" w:cs="Times New Roman"/>
          <w:sz w:val="18"/>
          <w:szCs w:val="18"/>
        </w:rPr>
        <w:t xml:space="preserve"> </w:t>
      </w:r>
      <w:proofErr w:type="gramStart"/>
      <w:r w:rsidRPr="00D426B0">
        <w:rPr>
          <w:rFonts w:ascii="Times New Roman" w:hAnsi="Times New Roman" w:cs="Times New Roman"/>
          <w:sz w:val="18"/>
          <w:szCs w:val="18"/>
        </w:rPr>
        <w:t>les</w:t>
      </w:r>
      <w:proofErr w:type="gramEnd"/>
      <w:r w:rsidRPr="00D426B0">
        <w:rPr>
          <w:rFonts w:ascii="Times New Roman" w:hAnsi="Times New Roman" w:cs="Times New Roman"/>
          <w:sz w:val="18"/>
          <w:szCs w:val="18"/>
        </w:rPr>
        <w:t xml:space="preserve"> religions issues du Décalogue (judaïsme, christianisme, islam), </w:t>
      </w:r>
    </w:p>
    <w:p w14:paraId="4FC5DCB7"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sym w:font="Symbol" w:char="F0B7"/>
      </w:r>
      <w:r w:rsidRPr="00D426B0">
        <w:rPr>
          <w:rFonts w:ascii="Times New Roman" w:hAnsi="Times New Roman" w:cs="Times New Roman"/>
          <w:sz w:val="18"/>
          <w:szCs w:val="18"/>
        </w:rPr>
        <w:t xml:space="preserve"> </w:t>
      </w:r>
      <w:proofErr w:type="gramStart"/>
      <w:r w:rsidRPr="00D426B0">
        <w:rPr>
          <w:rFonts w:ascii="Times New Roman" w:hAnsi="Times New Roman" w:cs="Times New Roman"/>
          <w:sz w:val="18"/>
          <w:szCs w:val="18"/>
        </w:rPr>
        <w:t>les</w:t>
      </w:r>
      <w:proofErr w:type="gramEnd"/>
      <w:r w:rsidRPr="00D426B0">
        <w:rPr>
          <w:rFonts w:ascii="Times New Roman" w:hAnsi="Times New Roman" w:cs="Times New Roman"/>
          <w:sz w:val="18"/>
          <w:szCs w:val="18"/>
        </w:rPr>
        <w:t xml:space="preserve"> religions traditionnelles africaines, matrices culturelles et cosmiques des peuples, </w:t>
      </w:r>
    </w:p>
    <w:p w14:paraId="2C0FDD7E"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sym w:font="Symbol" w:char="F0B7"/>
      </w:r>
      <w:r w:rsidRPr="00D426B0">
        <w:rPr>
          <w:rFonts w:ascii="Times New Roman" w:hAnsi="Times New Roman" w:cs="Times New Roman"/>
          <w:sz w:val="18"/>
          <w:szCs w:val="18"/>
        </w:rPr>
        <w:t xml:space="preserve"> </w:t>
      </w:r>
      <w:proofErr w:type="gramStart"/>
      <w:r w:rsidRPr="00D426B0">
        <w:rPr>
          <w:rFonts w:ascii="Times New Roman" w:hAnsi="Times New Roman" w:cs="Times New Roman"/>
          <w:sz w:val="18"/>
          <w:szCs w:val="18"/>
        </w:rPr>
        <w:t>et</w:t>
      </w:r>
      <w:proofErr w:type="gramEnd"/>
      <w:r w:rsidRPr="00D426B0">
        <w:rPr>
          <w:rFonts w:ascii="Times New Roman" w:hAnsi="Times New Roman" w:cs="Times New Roman"/>
          <w:sz w:val="18"/>
          <w:szCs w:val="18"/>
        </w:rPr>
        <w:t xml:space="preserve"> les loges secrètes occidentales et courants ésotériques importés (rose-croix, franc-maçonnerie, sociétés initiatiques modernes), souvent mal compris, mais profondément influents dans les sphères du pouvoir, de l’économie et de la gouvernance.  </w:t>
      </w:r>
    </w:p>
    <w:p w14:paraId="597B95B4"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 xml:space="preserve">Cette coexistence n’est pas neutre. Elle produit des tensions de légitimité, des luttes de leadership spirituel, des alliances occultes, mais aussi des fractures intérieures chez des millions d’Africains, pris entre héritages ancestraux, conversions religieuses, exigences modernes et quêtes de </w:t>
      </w:r>
      <w:r w:rsidRPr="00D426B0">
        <w:rPr>
          <w:rFonts w:ascii="Times New Roman" w:hAnsi="Times New Roman" w:cs="Times New Roman"/>
          <w:sz w:val="18"/>
          <w:szCs w:val="18"/>
        </w:rPr>
        <w:lastRenderedPageBreak/>
        <w:t xml:space="preserve">protection, de pouvoir, de guérison ou de reconnaissance sociale. C’est dans cet entrelacs que surgit ce que la MTHS nomme le handicap spirituel : un état de déséquilibre profond, transmis parfois de génération en génération, se manifestant par des symptômes spirituels, psychiques, sociaux et somatiques, et rendant l’individu ou la communauté vulnérable aux manipulations, aux pactes implicites, à la peur, à la confusion doctrinale et à la dépendance spirituelle. Ce livre adopte une posture singulière : clinique, narrative et initiatique. </w:t>
      </w:r>
    </w:p>
    <w:p w14:paraId="63EFF7CA"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 xml:space="preserve">Clinique, parce qu’il observe, décrit, diagnostique et propose des chemins thérapeutiques, avec rigueur et prudence. Narrative et initiatique, parce qu’il invite le lecteur à un cheminement intérieur, à une traversée des ombres et des lumières, à une réconciliation progressive avec soi-même, avec son histoire spirituelle et avec sa communauté. Dans une fidélité assumée au christianisme, cet ouvrage refuse toute forme de domination spirituelle, de mépris culturel ou de syncrétisme naïf. Il s’inscrit dans la dynamique de l’inculturation, telle que pensée par les théologiens africains : un christianisme qui guérit sans écraser, qui éclaire sans nier, qui libère sans déraciner. </w:t>
      </w:r>
    </w:p>
    <w:p w14:paraId="4F5BF1FC"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 xml:space="preserve">La foi y est présentée non comme une arme dans la guerre des </w:t>
      </w:r>
      <w:proofErr w:type="gramStart"/>
      <w:r w:rsidRPr="00D426B0">
        <w:rPr>
          <w:rFonts w:ascii="Times New Roman" w:hAnsi="Times New Roman" w:cs="Times New Roman"/>
          <w:sz w:val="18"/>
          <w:szCs w:val="18"/>
        </w:rPr>
        <w:t>spiritualités,  mais</w:t>
      </w:r>
      <w:proofErr w:type="gramEnd"/>
      <w:r w:rsidRPr="00D426B0">
        <w:rPr>
          <w:rFonts w:ascii="Times New Roman" w:hAnsi="Times New Roman" w:cs="Times New Roman"/>
          <w:sz w:val="18"/>
          <w:szCs w:val="18"/>
        </w:rPr>
        <w:t xml:space="preserve"> comme une force de discernement, de guérison et de paix intérieure. L’Association Mariale d’</w:t>
      </w:r>
      <w:proofErr w:type="spellStart"/>
      <w:r w:rsidRPr="00D426B0">
        <w:rPr>
          <w:rFonts w:ascii="Times New Roman" w:hAnsi="Times New Roman" w:cs="Times New Roman"/>
          <w:sz w:val="18"/>
          <w:szCs w:val="18"/>
        </w:rPr>
        <w:t>Abili</w:t>
      </w:r>
      <w:proofErr w:type="spellEnd"/>
      <w:r w:rsidRPr="00D426B0">
        <w:rPr>
          <w:rFonts w:ascii="Times New Roman" w:hAnsi="Times New Roman" w:cs="Times New Roman"/>
          <w:sz w:val="18"/>
          <w:szCs w:val="18"/>
        </w:rPr>
        <w:t xml:space="preserve"> (ASMAB), à travers cette publication, poursuit sa mission : contribuer à la restauration de la souveraineté spirituelle de l’Africain, en l’aidant à comprendre les mécanismes invisibles qui l’assaillent, à nommer ses blessures spirituelles, et à redevenir sujet de son histoire, et non objet des luttes spirituelles des autres. Cet ouvrage s’adresse aux leaders spirituels, aux thérapeutes traditionnels et modernes, aux théologiens, aux décideurs politiques, mais aussi à tout Africain en quête de vérité, de liberté intérieure et de paix. Il les appelle à une responsabilité éthique majeure : celle de ne plus instrumentaliser le spirituel, mais de le remettre au service de la vie, de la dignité humaine et du bien commun. Que ce livre soit lu comme un outil de discernement, un miroir courageux, et surtout comme un appel : appel à comprendre la guerre pour choisir la paix, appel à guérir sans dominer, appel à faire de l’Afrique non plus </w:t>
      </w:r>
      <w:r w:rsidRPr="00D426B0">
        <w:rPr>
          <w:rFonts w:ascii="Times New Roman" w:hAnsi="Times New Roman" w:cs="Times New Roman"/>
          <w:sz w:val="18"/>
          <w:szCs w:val="18"/>
        </w:rPr>
        <w:lastRenderedPageBreak/>
        <w:t xml:space="preserve">un champ de bataille spirituel, mais un laboratoire vivant d’une spiritualité réconciliée, enracinée, libre et tournée vers l’avenir. </w:t>
      </w:r>
    </w:p>
    <w:p w14:paraId="1C75E606" w14:textId="0801FD38" w:rsidR="00051DC6" w:rsidRPr="00D426B0" w:rsidRDefault="00051DC6" w:rsidP="00D426B0">
      <w:pPr>
        <w:spacing w:line="360" w:lineRule="auto"/>
        <w:ind w:firstLine="708"/>
        <w:jc w:val="both"/>
        <w:rPr>
          <w:rFonts w:ascii="Times New Roman" w:hAnsi="Times New Roman" w:cs="Times New Roman"/>
          <w:sz w:val="18"/>
          <w:szCs w:val="18"/>
        </w:rPr>
      </w:pPr>
      <w:proofErr w:type="gramStart"/>
      <w:r w:rsidRPr="00D426B0">
        <w:rPr>
          <w:rFonts w:ascii="Times New Roman" w:hAnsi="Times New Roman" w:cs="Times New Roman"/>
          <w:sz w:val="18"/>
          <w:szCs w:val="18"/>
        </w:rPr>
        <w:t>l’Editeur</w:t>
      </w:r>
      <w:proofErr w:type="gramEnd"/>
    </w:p>
    <w:p w14:paraId="7DE45567" w14:textId="3BAD478E" w:rsidR="00051DC6" w:rsidRPr="00D426B0" w:rsidRDefault="00051DC6" w:rsidP="00D426B0">
      <w:pPr>
        <w:spacing w:line="360" w:lineRule="auto"/>
        <w:jc w:val="both"/>
        <w:rPr>
          <w:rFonts w:ascii="Times New Roman" w:hAnsi="Times New Roman" w:cs="Times New Roman"/>
          <w:sz w:val="18"/>
          <w:szCs w:val="18"/>
        </w:rPr>
      </w:pPr>
      <w:r w:rsidRPr="00D426B0">
        <w:rPr>
          <w:rFonts w:ascii="Times New Roman" w:hAnsi="Times New Roman" w:cs="Times New Roman"/>
          <w:sz w:val="18"/>
          <w:szCs w:val="18"/>
        </w:rPr>
        <w:br w:type="page"/>
      </w:r>
    </w:p>
    <w:p w14:paraId="019EE53C" w14:textId="21C5FDCD"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lastRenderedPageBreak/>
        <w:t>AVANT-PROPOS</w:t>
      </w:r>
    </w:p>
    <w:p w14:paraId="13800196"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 xml:space="preserve">Entrer dans la guerre invisible pour comprendre, soigner et réconcilier Pourquoi parler aujourd’hui de « guerre des spiritualités » en Afrique ? Il est des guerres qui font trembler la terre et rougir les cartes géopolitiques. Il en est d’autres, plus silencieuses, qui ne laissent ni ruines visibles ni bilans officiels, mais qui fracturent les consciences, désorientent les peuples et épuisent les âmes. La guerre des spiritualités appartient à cette seconde catégorie. Elle ne se déclare pas par des coups de feu, mais par des rites, des discours, des symboles, des peurs et des promesses. Elle ne se mène pas sur des champs de bataille, mais dans les cœurs, les familles, les communautés, les Églises, les chefferies, les loges, les lieux sacrés et les couloirs du pouvoir. L’Afrique noire, depuis plusieurs siècles, est devenue l’un des théâtres majeurs de cette guerre invisible. </w:t>
      </w:r>
    </w:p>
    <w:p w14:paraId="08B7EE78"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Terre de spiritualité profonde, de sensibilité au sacré, de relation intime entre le visible et l’invisible, elle attire, concentre et amplifie les tensions spirituelles du monde. Ici, la spiritualité n’est pas un supplément d’âme ; elle est la trame même de l’existence. Elle structure la naissance, la maladie, la mort, le pouvoir, la guérison, la transmission et l’espérance. C’est précisément pour cette raison que l’Afrique est devenue un espace stratégique de confrontation entre systèmes spirituels concurrents. Les religions dites du Décalogue – judaïsme, christianisme, islam – y ont implanté leurs doctrines, leurs institutions et leurs visions</w:t>
      </w:r>
      <w:r w:rsidRPr="00D426B0">
        <w:rPr>
          <w:rFonts w:ascii="Times New Roman" w:hAnsi="Times New Roman" w:cs="Times New Roman"/>
          <w:sz w:val="18"/>
          <w:szCs w:val="18"/>
        </w:rPr>
        <w:t xml:space="preserve"> </w:t>
      </w:r>
      <w:r w:rsidRPr="00D426B0">
        <w:rPr>
          <w:rFonts w:ascii="Times New Roman" w:hAnsi="Times New Roman" w:cs="Times New Roman"/>
          <w:sz w:val="18"/>
          <w:szCs w:val="18"/>
        </w:rPr>
        <w:t xml:space="preserve">du salut. Les religions traditionnelles africaines, loin d’avoir disparu, continuent d’irriguer les imaginaires, les pratiques thérapeutiques, les rites familiaux et les structures de sens. </w:t>
      </w:r>
    </w:p>
    <w:p w14:paraId="23243A2E"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 xml:space="preserve">À cela se sont ajoutées, de manière plus discrète mais non moins influente, des loges initiatiques occidentales – Rose-Croix, franc-maçonnerie et autres sociétés symboliques – qui proposent des voies de pouvoir, de connaissance et d’ascension sociale sous couvert de neutralité spirituelle. Ces systèmes ne cohabitent pas toujours pacifiquement. Ils se superposent, s’affrontent, se mélangent, se neutralisent ou s’instrumentalisent. Et très souvent, c’est l’homme africain ordinaire qui en paie le prix : confusion </w:t>
      </w:r>
      <w:r w:rsidRPr="00D426B0">
        <w:rPr>
          <w:rFonts w:ascii="Times New Roman" w:hAnsi="Times New Roman" w:cs="Times New Roman"/>
          <w:sz w:val="18"/>
          <w:szCs w:val="18"/>
        </w:rPr>
        <w:lastRenderedPageBreak/>
        <w:t xml:space="preserve">intérieure, peur diffuse, double appartenance, maladies inexpliquées, échecs répétitifs, perte de repères, dépendance spirituelle. Autant de symptômes que la Médecine Traditionnelle des Handicapés Spirituels (MTHS) identifie comme les marques d’un terrain spirituel fragilisé, exposé et colonisé. Parler aujourd’hui de guerre des spiritualités en Afrique, ce n’est donc pas céder à la polémique ou au sensationnalisme. C’est nommer une réalité clinique, anthropologique et théologique que beaucoup vivent sans disposer des mots pour la comprendre. </w:t>
      </w:r>
    </w:p>
    <w:p w14:paraId="7A80B181"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Le positionnement de l’Association Mariale d’</w:t>
      </w:r>
      <w:proofErr w:type="spellStart"/>
      <w:r w:rsidRPr="00D426B0">
        <w:rPr>
          <w:rFonts w:ascii="Times New Roman" w:hAnsi="Times New Roman" w:cs="Times New Roman"/>
          <w:sz w:val="18"/>
          <w:szCs w:val="18"/>
        </w:rPr>
        <w:t>Abili</w:t>
      </w:r>
      <w:proofErr w:type="spellEnd"/>
      <w:r w:rsidRPr="00D426B0">
        <w:rPr>
          <w:rFonts w:ascii="Times New Roman" w:hAnsi="Times New Roman" w:cs="Times New Roman"/>
          <w:sz w:val="18"/>
          <w:szCs w:val="18"/>
        </w:rPr>
        <w:t xml:space="preserve"> L’Association Mariale d’</w:t>
      </w:r>
      <w:proofErr w:type="spellStart"/>
      <w:r w:rsidRPr="00D426B0">
        <w:rPr>
          <w:rFonts w:ascii="Times New Roman" w:hAnsi="Times New Roman" w:cs="Times New Roman"/>
          <w:sz w:val="18"/>
          <w:szCs w:val="18"/>
        </w:rPr>
        <w:t>Abili</w:t>
      </w:r>
      <w:proofErr w:type="spellEnd"/>
      <w:r w:rsidRPr="00D426B0">
        <w:rPr>
          <w:rFonts w:ascii="Times New Roman" w:hAnsi="Times New Roman" w:cs="Times New Roman"/>
          <w:sz w:val="18"/>
          <w:szCs w:val="18"/>
        </w:rPr>
        <w:t xml:space="preserve"> (ASMAB) s’inscrit dans une tradition africaine de sagesse thérapeutique et spirituelle, éclairée par la foi chrétienne </w:t>
      </w:r>
      <w:proofErr w:type="spellStart"/>
      <w:r w:rsidRPr="00D426B0">
        <w:rPr>
          <w:rFonts w:ascii="Times New Roman" w:hAnsi="Times New Roman" w:cs="Times New Roman"/>
          <w:sz w:val="18"/>
          <w:szCs w:val="18"/>
        </w:rPr>
        <w:t>inculturée</w:t>
      </w:r>
      <w:proofErr w:type="spellEnd"/>
      <w:r w:rsidRPr="00D426B0">
        <w:rPr>
          <w:rFonts w:ascii="Times New Roman" w:hAnsi="Times New Roman" w:cs="Times New Roman"/>
          <w:sz w:val="18"/>
          <w:szCs w:val="18"/>
        </w:rPr>
        <w:t xml:space="preserve"> et par une longue expérience de</w:t>
      </w:r>
      <w:r w:rsidRPr="00D426B0">
        <w:rPr>
          <w:rFonts w:ascii="Times New Roman" w:hAnsi="Times New Roman" w:cs="Times New Roman"/>
          <w:sz w:val="18"/>
          <w:szCs w:val="18"/>
        </w:rPr>
        <w:t xml:space="preserve"> </w:t>
      </w:r>
      <w:r w:rsidRPr="00D426B0">
        <w:rPr>
          <w:rFonts w:ascii="Times New Roman" w:hAnsi="Times New Roman" w:cs="Times New Roman"/>
          <w:sz w:val="18"/>
          <w:szCs w:val="18"/>
        </w:rPr>
        <w:t xml:space="preserve">l’accompagnement des souffrances invisibles. Depuis </w:t>
      </w:r>
      <w:proofErr w:type="spellStart"/>
      <w:r w:rsidRPr="00D426B0">
        <w:rPr>
          <w:rFonts w:ascii="Times New Roman" w:hAnsi="Times New Roman" w:cs="Times New Roman"/>
          <w:sz w:val="18"/>
          <w:szCs w:val="18"/>
        </w:rPr>
        <w:t>Abili</w:t>
      </w:r>
      <w:proofErr w:type="spellEnd"/>
      <w:r w:rsidRPr="00D426B0">
        <w:rPr>
          <w:rFonts w:ascii="Times New Roman" w:hAnsi="Times New Roman" w:cs="Times New Roman"/>
          <w:sz w:val="18"/>
          <w:szCs w:val="18"/>
        </w:rPr>
        <w:t xml:space="preserve">, village enraciné dans la mémoire, la terre et la prière, l’ASMAB observe, écoute et soigne des personnes que les cadres classiques – médicaux, psychologiques ou strictement pastoraux – ne parviennent pas toujours à comprendre ni à soulager. Notre positionnement est volontairement transversal. Nous refusons les simplifications dangereuses qui opposent brutalement christianisme et traditions africaines, foi et culture, médecine moderne et médecine traditionnelle, prière et thérapie. Nous refusons également les discours de peur qui diabolisent sans discernement, tout comme les discours naïfs qui sacralisent tout héritage au nom de l’identité culturelle. </w:t>
      </w:r>
    </w:p>
    <w:p w14:paraId="58607605"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La MTHS, telle que développée et pratiquée dans le cadre de l’ASMAB, repose sur une conviction simple mais exigeante : toute souffrance spirituelle mérite une lecture clinique, contextualisée et respectueuse de la personne. Elle appelle un diagnostic, une écoute, une prise en charge progressive et une restauration de la souveraineté intérieure du patient spirituel. Dans cette perspective, la guerre des spiritualités n’est pas un slogan idéologique, mais un champ pathologique dont il faut comprendre les mécanismes pour espérer guérir ceux qui en sont les victimes. Clarification essentielle : un ouvrage d’analyse clinique, non un pamphlet religieux Il importe, dès cet avant-propos, de lever toute ambiguïté. Ce livre n’est ni un manifeste de combat religieux, ni un réquisitoire contre</w:t>
      </w:r>
      <w:r w:rsidRPr="00D426B0">
        <w:rPr>
          <w:rFonts w:ascii="Times New Roman" w:hAnsi="Times New Roman" w:cs="Times New Roman"/>
          <w:sz w:val="18"/>
          <w:szCs w:val="18"/>
        </w:rPr>
        <w:t xml:space="preserve"> </w:t>
      </w:r>
      <w:r w:rsidRPr="00D426B0">
        <w:rPr>
          <w:rFonts w:ascii="Times New Roman" w:hAnsi="Times New Roman" w:cs="Times New Roman"/>
          <w:sz w:val="18"/>
          <w:szCs w:val="18"/>
        </w:rPr>
        <w:t xml:space="preserve">telle ou telle tradition, </w:t>
      </w:r>
      <w:r w:rsidRPr="00D426B0">
        <w:rPr>
          <w:rFonts w:ascii="Times New Roman" w:hAnsi="Times New Roman" w:cs="Times New Roman"/>
          <w:sz w:val="18"/>
          <w:szCs w:val="18"/>
        </w:rPr>
        <w:lastRenderedPageBreak/>
        <w:t xml:space="preserve">ni une tentative de hiérarchisation brutale des systèmes spirituels. Il ne s’agit pas de désigner des ennemis humains, mais de mettre en lumière des dynamiques invisibles qui traversent les pratiques spirituelles, quels que soient leurs noms ou leurs origines. Dans la tradition chrétienne la plus classique, l’apôtre Paul rappelait déjà que « le combat n’est pas contre la chair et le sang ». </w:t>
      </w:r>
    </w:p>
    <w:p w14:paraId="758DF211"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 xml:space="preserve">Cette affirmation fonde l’approche clinique de la MTHS : l’homme n’est jamais l’ennemi, il est toujours l’enjeu. Lorsqu’une religion, une tradition ou </w:t>
      </w:r>
      <w:proofErr w:type="gramStart"/>
      <w:r w:rsidRPr="00D426B0">
        <w:rPr>
          <w:rFonts w:ascii="Times New Roman" w:hAnsi="Times New Roman" w:cs="Times New Roman"/>
          <w:sz w:val="18"/>
          <w:szCs w:val="18"/>
        </w:rPr>
        <w:t>une organisation produit</w:t>
      </w:r>
      <w:proofErr w:type="gramEnd"/>
      <w:r w:rsidRPr="00D426B0">
        <w:rPr>
          <w:rFonts w:ascii="Times New Roman" w:hAnsi="Times New Roman" w:cs="Times New Roman"/>
          <w:sz w:val="18"/>
          <w:szCs w:val="18"/>
        </w:rPr>
        <w:t xml:space="preserve"> de la peur, de la dépendance, de la confusion ou de la destruction intérieure, elle devient pathogène, indépendamment de ses intentions déclarées. Ce livre adopte donc une posture d’analyse, de discernement et de soin. Il interroge les dérives de leadership spirituel, les abus d’autorité sacrée, les syncrétismes non maîtrisés, les pactes inconscients, les transmissions transgénérationnelles de traumatismes spirituels. Il le fait à partir d’une grille de lecture enracinée dans l’anthropologie médicale africaine, qui reconnaît l’interaction constante entre le corps, l’âme, l’esprit, la famille, les ancêtres et le monde invisible. Un récit initiatique plus qu’un traité abstrait Fidèle à l’esprit de l’ASMAB, cet ouvrage n’a pas été conçu comme un traité académique froid et distant. Il emprunte volontairement la forme d’un chemin initiatique, où le lecteur est invité à avancer pas à pas, à reconnaître ses propres zones d’ombre,</w:t>
      </w:r>
      <w:r w:rsidRPr="00D426B0">
        <w:rPr>
          <w:rFonts w:ascii="Times New Roman" w:hAnsi="Times New Roman" w:cs="Times New Roman"/>
          <w:sz w:val="18"/>
          <w:szCs w:val="18"/>
        </w:rPr>
        <w:t xml:space="preserve"> </w:t>
      </w:r>
      <w:r w:rsidRPr="00D426B0">
        <w:rPr>
          <w:rFonts w:ascii="Times New Roman" w:hAnsi="Times New Roman" w:cs="Times New Roman"/>
          <w:sz w:val="18"/>
          <w:szCs w:val="18"/>
        </w:rPr>
        <w:t xml:space="preserve">à revisiter son histoire spirituelle et à retrouver une posture de discernement. </w:t>
      </w:r>
    </w:p>
    <w:p w14:paraId="7C262BB8"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 xml:space="preserve">En Afrique, la connaissance véritable ne se transmet pas uniquement par des concepts, mais par des récits, des symboles, des expériences partagées. C’est pourquoi ce livre alterne analyses, méditations, observations cliniques et narrations inspirées de situations réelles, anonymisées et respectées. Le lecteur n’est pas un simple spectateur : il devient compagnon de route, parfois même patient en miroir, appelé à s’interroger sur ses appartenances, ses peurs et ses loyautés invisibles. À qui s’adresse ce livre ? Ce livre s’adresse d’abord aux croyants, de toutes confessions, qui sentent confusément que quelque chose se joue </w:t>
      </w:r>
      <w:proofErr w:type="spellStart"/>
      <w:r w:rsidRPr="00D426B0">
        <w:rPr>
          <w:rFonts w:ascii="Times New Roman" w:hAnsi="Times New Roman" w:cs="Times New Roman"/>
          <w:sz w:val="18"/>
          <w:szCs w:val="18"/>
        </w:rPr>
        <w:t>audelà</w:t>
      </w:r>
      <w:proofErr w:type="spellEnd"/>
      <w:r w:rsidRPr="00D426B0">
        <w:rPr>
          <w:rFonts w:ascii="Times New Roman" w:hAnsi="Times New Roman" w:cs="Times New Roman"/>
          <w:sz w:val="18"/>
          <w:szCs w:val="18"/>
        </w:rPr>
        <w:t xml:space="preserve"> des rites et des dogmes, et qui cherchent à vivre leur foi sans peur ni servitude intérieure. Il s’adresse aux leaders spirituels et </w:t>
      </w:r>
      <w:r w:rsidRPr="00D426B0">
        <w:rPr>
          <w:rFonts w:ascii="Times New Roman" w:hAnsi="Times New Roman" w:cs="Times New Roman"/>
          <w:sz w:val="18"/>
          <w:szCs w:val="18"/>
        </w:rPr>
        <w:lastRenderedPageBreak/>
        <w:t>communautaires – prêtres, pasteurs, imams, tradipraticiens, chefs traditionnels – appelés à exercer leur autorité comme un service de guérison et non comme une domination. Il s’adresse aux chercheurs, anthropologues, théologiens, thérapeutes, désireux de comprendre les interactions complexes entre spiritualité, culture et pathologie en contexte africain.</w:t>
      </w:r>
      <w:r w:rsidRPr="00D426B0">
        <w:rPr>
          <w:rFonts w:ascii="Times New Roman" w:hAnsi="Times New Roman" w:cs="Times New Roman"/>
          <w:sz w:val="18"/>
          <w:szCs w:val="18"/>
        </w:rPr>
        <w:t xml:space="preserve"> </w:t>
      </w:r>
    </w:p>
    <w:p w14:paraId="3BCAA2BB"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Il s’adresse enfin aux jeunes Africains, souvent pris entre héritages contradictoires, modernité pressante et quêtes identitaires profondes, afin qu’ils ne deviennent pas les otages inconscients d’une guerre qu’ils n’ont pas choisie. Entrer dans le livre comme on entre en thérapie Lire cet ouvrage, c’est accepter de descendre en soi, de traverser des zones parfois inconfortables, de questionner des certitudes héritées. C’est aussi, et surtout, ouvrir un chemin de libération, de réconciliation et de paix intérieure. Car toute guerre spirituelle, aussi violente soit-elle, peut devenir un lieu de guérison lorsque la vérité est nommée, discernée et accompagnée. C’est dans cet esprit que l’Association Mariale d’</w:t>
      </w:r>
      <w:proofErr w:type="spellStart"/>
      <w:r w:rsidRPr="00D426B0">
        <w:rPr>
          <w:rFonts w:ascii="Times New Roman" w:hAnsi="Times New Roman" w:cs="Times New Roman"/>
          <w:sz w:val="18"/>
          <w:szCs w:val="18"/>
        </w:rPr>
        <w:t>Abili</w:t>
      </w:r>
      <w:proofErr w:type="spellEnd"/>
      <w:r w:rsidRPr="00D426B0">
        <w:rPr>
          <w:rFonts w:ascii="Times New Roman" w:hAnsi="Times New Roman" w:cs="Times New Roman"/>
          <w:sz w:val="18"/>
          <w:szCs w:val="18"/>
        </w:rPr>
        <w:t xml:space="preserve"> te convie à cette traversée. </w:t>
      </w:r>
    </w:p>
    <w:p w14:paraId="4577381C"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La guerre des spiritualités comme pathologie collective Dans le langage de la Médecine Traditionnelle des Handicapés Spirituels (MTHS), une guerre spirituelle prolongée produit inévitablement une pathologie collective. Lorsqu’un individu est soumis à des influences contradictoires sans outils de discernement, il développe des symptômes : anxiété spirituelle, peurs irrationnelles, culpabilité diffuse, dépendance à un médiateur sacré, ou rejet violent de toute transcendance. Lorsqu’un peuple entier est exposé à cette même pression, génération après génération, la pathologie devient structurelle.</w:t>
      </w:r>
      <w:r w:rsidRPr="00D426B0">
        <w:rPr>
          <w:rFonts w:ascii="Times New Roman" w:hAnsi="Times New Roman" w:cs="Times New Roman"/>
          <w:sz w:val="18"/>
          <w:szCs w:val="18"/>
        </w:rPr>
        <w:t xml:space="preserve"> </w:t>
      </w:r>
      <w:r w:rsidRPr="00D426B0">
        <w:rPr>
          <w:rFonts w:ascii="Times New Roman" w:hAnsi="Times New Roman" w:cs="Times New Roman"/>
          <w:sz w:val="18"/>
          <w:szCs w:val="18"/>
        </w:rPr>
        <w:t xml:space="preserve">L’Afrique contemporaine vit précisément ce phénomène. Elle est traversée par des injonctions spirituelles multiples, souvent incompatibles, parfois antagonistes. On lui demande d’être chrétienne sans être africaine, africaine sans être moderne, moderne sans être spirituelle, spirituelle sans poser de questions. Cette fragmentation intérieure crée un terrain favorable à toutes les formes de manipulation spirituelle, qu’elles soient religieuses, initiatiques ou idéologiques. </w:t>
      </w:r>
    </w:p>
    <w:p w14:paraId="035BA69C"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lastRenderedPageBreak/>
        <w:t xml:space="preserve">La MTHS identifie ici un handicap spirituel de type conflictuel : l’âme ne sait plus à quelle autorité se soumettre, ni à quelle source se fier. Le sujet oscille entre peur du châtiment, désir de protection, quête de pouvoir et besoin de reconnaissance. Cette oscillation devient le moteur silencieux de la guerre des spiritualités. Désenvoûtement et délivrance : remettre l’homme au centre Dans de nombreuses traditions africaines, le désenvoûtement n’est pas une pratique spectaculaire, mais un processus lent de restauration de l’équilibre. Il ne s’agit pas seulement de chasser une influence négative, mais de rééduquer la relation de la personne au monde invisible. De même, dans la tradition chrétienne authentique, la délivrance n’est pas un théâtre de cris, mais une œuvre de vérité, de lumière et de liberté. Ce livre adopte cette double sagesse. Il ne promet pas des solutions magiques ni des ruptures instantanées. Il invite plutôt à un désenvoûtement par la connaissance, </w:t>
      </w:r>
      <w:proofErr w:type="gramStart"/>
      <w:r w:rsidRPr="00D426B0">
        <w:rPr>
          <w:rFonts w:ascii="Times New Roman" w:hAnsi="Times New Roman" w:cs="Times New Roman"/>
          <w:sz w:val="18"/>
          <w:szCs w:val="18"/>
        </w:rPr>
        <w:t>un délivrance</w:t>
      </w:r>
      <w:proofErr w:type="gramEnd"/>
      <w:r w:rsidRPr="00D426B0">
        <w:rPr>
          <w:rFonts w:ascii="Times New Roman" w:hAnsi="Times New Roman" w:cs="Times New Roman"/>
          <w:sz w:val="18"/>
          <w:szCs w:val="18"/>
        </w:rPr>
        <w:t xml:space="preserve"> par le discernement, un retour à la souveraineté spirituelle personnelle.</w:t>
      </w:r>
      <w:r w:rsidRPr="00D426B0">
        <w:rPr>
          <w:rFonts w:ascii="Times New Roman" w:hAnsi="Times New Roman" w:cs="Times New Roman"/>
          <w:sz w:val="18"/>
          <w:szCs w:val="18"/>
        </w:rPr>
        <w:t xml:space="preserve"> </w:t>
      </w:r>
    </w:p>
    <w:p w14:paraId="1F617FFD"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 xml:space="preserve">Car nul ne peut être durablement délivré s’il demeure ignorant des mécanismes qui l’asservissent. Dans la pratique clinique MTHS, nous avons observé que beaucoup de personnes dites « envoûtées » ne sont pas possédées au sens strict, mais désorientées spirituellement. Elles ont confié leur pouvoir intérieur à des systèmes qui promettaient protection, réussite ou salut, sans jamais leur apprendre à se tenir debout intérieurement. La guerre des spiritualités prospère précisément sur cette abdication de la responsabilité spirituelle personnelle. Leadership spirituel : service ou domination L’un des fils conducteurs de cet ouvrage est la question du leadership spirituel. Qui a le droit de guider ? Qui parle au nom du sacré ? Qui décide de ce qui est pur ou impur, permis ou interdit, salvateur ou dangereux ? Dans les religions du Décalogue, le leadership spirituel s’est historiquement structuré autour de textes, d’institutions et de hiérarchies. Dans les religions traditionnelles africaines, il s’est incarné dans des figures initiatiques, garantes de l’équilibre entre les vivants et les forces invisibles. Dans les loges occidentales, il se manifeste par des degrés, des symboles et une promesse d’élévation réservée à quelques-uns. Le problème n’est pas l’existence du leadership spirituel en </w:t>
      </w:r>
      <w:r w:rsidRPr="00D426B0">
        <w:rPr>
          <w:rFonts w:ascii="Times New Roman" w:hAnsi="Times New Roman" w:cs="Times New Roman"/>
          <w:sz w:val="18"/>
          <w:szCs w:val="18"/>
        </w:rPr>
        <w:lastRenderedPageBreak/>
        <w:t xml:space="preserve">soi. Le problème surgit lorsque ce leadership cesse d’être un service de croissance pour devenir un instrument de contrôle. </w:t>
      </w:r>
    </w:p>
    <w:p w14:paraId="6213457E"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À ce moment</w:t>
      </w:r>
      <w:r w:rsidRPr="00D426B0">
        <w:rPr>
          <w:rFonts w:ascii="Times New Roman" w:hAnsi="Times New Roman" w:cs="Times New Roman"/>
          <w:sz w:val="18"/>
          <w:szCs w:val="18"/>
        </w:rPr>
        <w:t xml:space="preserve"> </w:t>
      </w:r>
      <w:r w:rsidRPr="00D426B0">
        <w:rPr>
          <w:rFonts w:ascii="Times New Roman" w:hAnsi="Times New Roman" w:cs="Times New Roman"/>
          <w:sz w:val="18"/>
          <w:szCs w:val="18"/>
        </w:rPr>
        <w:t xml:space="preserve">précis, il devient pathogène. La MTHS parle alors de leadership spirituel handicapant, c’est-à-dire d’un mode d’autorité qui fragilise au lieu de fortifier, qui attache au lieu de libérer. Ce livre ose poser une question dérangeante mais nécessaire : combien de souffrances spirituelles en Afrique sont produites non par l’absence de spiritualité, mais par son excès mal orienté ? Combien de vies sont prisonnières de promesses non tenues, de pactes mal compris, de fidélités héritées sans consentement éclairé ? Inculturation du christianisme : guérir sans déraciner L’un des drames silencieux de l’évangélisation en Afrique a été, trop souvent, la confusion entre conversion et déracinement. En demandant à l’Africain de renoncer globalement à son univers symbolique, on a parfois créé des chrétiens coupés de leur mémoire, donc vulnérables. </w:t>
      </w:r>
    </w:p>
    <w:p w14:paraId="76823DEA"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Or, un arbre sans racines ne porte pas de fruits durables. L’inculturation authentique du christianisme, telle que l’entend l’ASMAB, n’est ni un syncrétisme naïf ni un rejet brutal des traditions. Elle est un travail de discernement thérapeutique, qui distingue ce qui soigne de ce qui enferme, ce qui élève de ce qui asservit. Elle reconnaît que Dieu a parlé aux peuples africains bien avant l’arrivée des missionnaires, mais que toute révélation humaine reste appelée à être purifiée. Dans cette perspective, la foi chrétienne devient une force de guérison et non une arme de disqualification culturelle. Elle offre un</w:t>
      </w:r>
      <w:r w:rsidRPr="00D426B0">
        <w:rPr>
          <w:rFonts w:ascii="Times New Roman" w:hAnsi="Times New Roman" w:cs="Times New Roman"/>
          <w:sz w:val="18"/>
          <w:szCs w:val="18"/>
        </w:rPr>
        <w:t xml:space="preserve"> </w:t>
      </w:r>
      <w:r w:rsidRPr="00D426B0">
        <w:rPr>
          <w:rFonts w:ascii="Times New Roman" w:hAnsi="Times New Roman" w:cs="Times New Roman"/>
          <w:sz w:val="18"/>
          <w:szCs w:val="18"/>
        </w:rPr>
        <w:t xml:space="preserve">cadre de libération capable d’assumer les réalités africaines – ancêtres, symboles, souffrances transgénérationnelles – sans les sacraliser aveuglément. Elle rejoint ainsi la MTHS dans sa vocation fondamentale : soigner sans détruire l’identité. La guerre des spiritualités comme rite de passage Dans la sagesse africaine, toute crise profonde peut devenir un rite de passage. La guerre des spiritualités, aussi douloureuse </w:t>
      </w:r>
      <w:proofErr w:type="spellStart"/>
      <w:r w:rsidRPr="00D426B0">
        <w:rPr>
          <w:rFonts w:ascii="Times New Roman" w:hAnsi="Times New Roman" w:cs="Times New Roman"/>
          <w:sz w:val="18"/>
          <w:szCs w:val="18"/>
        </w:rPr>
        <w:t>soitelle</w:t>
      </w:r>
      <w:proofErr w:type="spellEnd"/>
      <w:r w:rsidRPr="00D426B0">
        <w:rPr>
          <w:rFonts w:ascii="Times New Roman" w:hAnsi="Times New Roman" w:cs="Times New Roman"/>
          <w:sz w:val="18"/>
          <w:szCs w:val="18"/>
        </w:rPr>
        <w:t xml:space="preserve">, peut être l’occasion d’une maturation collective. Encore faut-il accepter de la regarder en face, sans peur ni déni. </w:t>
      </w:r>
    </w:p>
    <w:p w14:paraId="5558EFFB"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lastRenderedPageBreak/>
        <w:t xml:space="preserve">Ce livre propose de lire cette guerre comme un appel à la responsabilité spirituelle. L’Afrique n’est plus seulement un champ de mission ou un réservoir de traditions ; elle est appelée à devenir un sujet spirituel adulte, capable de discernement, de dialogue et de choix libres. Cela suppose une éducation spirituelle nouvelle, intégrant théologie, anthropologie, clinique et sagesse populaire. Dans les consultations MTHS, nous constatons que la guérison commence lorsque le patient cesse de chercher un sauveur extérieur et accepte d’entrer dans un processus. De même, la guérison spirituelle de l’Afrique passera par une prise de conscience collective : nul système, aussi ancien ou prestigieux soit-il, ne peut remplacer la responsabilité personnelle et communautaire face au sacré. 20 Un appel à la vigilance et à l’espérance Cet ouvrage n’est pas écrit pour effrayer, mais pour éveiller. Il n’annonce pas une fatalité, mais une possibilité de transformation. La guerre des spiritualités n’est pas la fin de l’Afrique ; elle peut en devenir l’épreuve fondatrice, à condition d’être traversée avec lucidité et courage. </w:t>
      </w:r>
    </w:p>
    <w:p w14:paraId="4AB67C05" w14:textId="77777777"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À travers ces pages, l’Association Mariale d’</w:t>
      </w:r>
      <w:proofErr w:type="spellStart"/>
      <w:r w:rsidRPr="00D426B0">
        <w:rPr>
          <w:rFonts w:ascii="Times New Roman" w:hAnsi="Times New Roman" w:cs="Times New Roman"/>
          <w:sz w:val="18"/>
          <w:szCs w:val="18"/>
        </w:rPr>
        <w:t>Abili</w:t>
      </w:r>
      <w:proofErr w:type="spellEnd"/>
      <w:r w:rsidRPr="00D426B0">
        <w:rPr>
          <w:rFonts w:ascii="Times New Roman" w:hAnsi="Times New Roman" w:cs="Times New Roman"/>
          <w:sz w:val="18"/>
          <w:szCs w:val="18"/>
        </w:rPr>
        <w:t xml:space="preserve"> lance un appel à la vigilance spirituelle, non comme paranoïa, mais comme sagesse. Elle appelle à une foi adulte, à une tradition assumée, à une médecine spirituelle respectueuse de la dignité humaine. Elle appelle surtout à la paix intérieure, seule capable de désarmer les conflits invisibles. Entrer dans le livre comme on entre dans une maison de guérison Que le lecteur aborde cet ouvrage comme on franchit le seuil d’un lieu de soin : avec respect, patience et ouverture. Qu’il accepte de déposer ses certitudes, ses peurs et ses préjugés. Qu’il se laisse accompagner, non vers une idéologie, mais vers une réconciliation intérieure. Car au-delà des religions, des loges et des traditions, il y a une vérité clinique simple que la MTHS ne cesse de rappeler : un esprit apaisé ne devient jamais un champ de bataille.</w:t>
      </w:r>
    </w:p>
    <w:p w14:paraId="62A21715" w14:textId="623C9F41" w:rsidR="00051DC6" w:rsidRPr="00D426B0" w:rsidRDefault="00051DC6" w:rsidP="00D426B0">
      <w:pPr>
        <w:spacing w:line="360" w:lineRule="auto"/>
        <w:ind w:firstLine="708"/>
        <w:jc w:val="both"/>
        <w:rPr>
          <w:rFonts w:ascii="Times New Roman" w:hAnsi="Times New Roman" w:cs="Times New Roman"/>
          <w:sz w:val="18"/>
          <w:szCs w:val="18"/>
        </w:rPr>
      </w:pPr>
      <w:r w:rsidRPr="00D426B0">
        <w:rPr>
          <w:rFonts w:ascii="Times New Roman" w:hAnsi="Times New Roman" w:cs="Times New Roman"/>
          <w:sz w:val="18"/>
          <w:szCs w:val="18"/>
        </w:rPr>
        <w:t>Mot de passage Ainsi commence ce livre. Non comme une accusation, mais comme une traversée. Non comme un combat contre des hommes, mais comme une lutte pour la vie, la liberté et la dignité spirituelle des peuples d’Afrique. Que celui qui lit accepte d’entrer dans cette sagesse exigeante. Le chemin est parfois inconfortable, mais il conduit à la guérison.</w:t>
      </w:r>
    </w:p>
    <w:p w14:paraId="08FE52BA" w14:textId="77777777" w:rsidR="00051DC6" w:rsidRPr="00D426B0" w:rsidRDefault="00051DC6" w:rsidP="00D426B0">
      <w:pPr>
        <w:spacing w:line="360" w:lineRule="auto"/>
        <w:jc w:val="both"/>
        <w:rPr>
          <w:rFonts w:ascii="Times New Roman" w:hAnsi="Times New Roman" w:cs="Times New Roman"/>
          <w:sz w:val="18"/>
          <w:szCs w:val="18"/>
        </w:rPr>
      </w:pPr>
    </w:p>
    <w:p w14:paraId="7CD0FE4E" w14:textId="77777777" w:rsidR="00051DC6" w:rsidRPr="00D426B0" w:rsidRDefault="00051DC6" w:rsidP="00D426B0">
      <w:pPr>
        <w:spacing w:line="360" w:lineRule="auto"/>
        <w:jc w:val="both"/>
        <w:rPr>
          <w:rFonts w:ascii="Times New Roman" w:hAnsi="Times New Roman" w:cs="Times New Roman"/>
          <w:sz w:val="18"/>
          <w:szCs w:val="18"/>
        </w:rPr>
      </w:pPr>
    </w:p>
    <w:p w14:paraId="6CB40869" w14:textId="77777777" w:rsidR="00051DC6" w:rsidRPr="00D426B0" w:rsidRDefault="00051DC6" w:rsidP="00D426B0">
      <w:pPr>
        <w:spacing w:line="360" w:lineRule="auto"/>
        <w:jc w:val="both"/>
        <w:rPr>
          <w:rFonts w:ascii="Times New Roman" w:hAnsi="Times New Roman" w:cs="Times New Roman"/>
          <w:sz w:val="18"/>
          <w:szCs w:val="18"/>
        </w:rPr>
      </w:pPr>
    </w:p>
    <w:p w14:paraId="6FE927CA" w14:textId="77777777" w:rsidR="00051DC6" w:rsidRPr="00D426B0" w:rsidRDefault="00051DC6" w:rsidP="00D426B0">
      <w:pPr>
        <w:spacing w:line="360" w:lineRule="auto"/>
        <w:ind w:firstLine="708"/>
        <w:jc w:val="both"/>
        <w:rPr>
          <w:rFonts w:ascii="Times New Roman" w:hAnsi="Times New Roman" w:cs="Times New Roman"/>
          <w:sz w:val="18"/>
          <w:szCs w:val="18"/>
        </w:rPr>
      </w:pPr>
    </w:p>
    <w:sectPr w:rsidR="00051DC6" w:rsidRPr="00D426B0" w:rsidSect="00D426B0">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DC6"/>
    <w:rsid w:val="00051DC6"/>
    <w:rsid w:val="001552F7"/>
    <w:rsid w:val="00186A94"/>
    <w:rsid w:val="001C499D"/>
    <w:rsid w:val="00A26E6B"/>
    <w:rsid w:val="00B04921"/>
    <w:rsid w:val="00D426B0"/>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C6E38"/>
  <w15:chartTrackingRefBased/>
  <w15:docId w15:val="{FE3DD68C-51FB-4423-9637-B5DC8E51E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51D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51D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51DC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51DC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51DC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51DC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1DC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1DC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1DC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1DC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51DC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51DC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51DC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51DC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51DC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1DC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1DC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1DC6"/>
    <w:rPr>
      <w:rFonts w:eastAsiaTheme="majorEastAsia" w:cstheme="majorBidi"/>
      <w:color w:val="272727" w:themeColor="text1" w:themeTint="D8"/>
    </w:rPr>
  </w:style>
  <w:style w:type="paragraph" w:styleId="Titre">
    <w:name w:val="Title"/>
    <w:basedOn w:val="Normal"/>
    <w:next w:val="Normal"/>
    <w:link w:val="TitreCar"/>
    <w:uiPriority w:val="10"/>
    <w:qFormat/>
    <w:rsid w:val="00051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1DC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1DC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1DC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1DC6"/>
    <w:pPr>
      <w:spacing w:before="160"/>
      <w:jc w:val="center"/>
    </w:pPr>
    <w:rPr>
      <w:i/>
      <w:iCs/>
      <w:color w:val="404040" w:themeColor="text1" w:themeTint="BF"/>
    </w:rPr>
  </w:style>
  <w:style w:type="character" w:customStyle="1" w:styleId="CitationCar">
    <w:name w:val="Citation Car"/>
    <w:basedOn w:val="Policepardfaut"/>
    <w:link w:val="Citation"/>
    <w:uiPriority w:val="29"/>
    <w:rsid w:val="00051DC6"/>
    <w:rPr>
      <w:i/>
      <w:iCs/>
      <w:color w:val="404040" w:themeColor="text1" w:themeTint="BF"/>
    </w:rPr>
  </w:style>
  <w:style w:type="paragraph" w:styleId="Paragraphedeliste">
    <w:name w:val="List Paragraph"/>
    <w:basedOn w:val="Normal"/>
    <w:uiPriority w:val="34"/>
    <w:qFormat/>
    <w:rsid w:val="00051DC6"/>
    <w:pPr>
      <w:ind w:left="720"/>
      <w:contextualSpacing/>
    </w:pPr>
  </w:style>
  <w:style w:type="character" w:styleId="Accentuationintense">
    <w:name w:val="Intense Emphasis"/>
    <w:basedOn w:val="Policepardfaut"/>
    <w:uiPriority w:val="21"/>
    <w:qFormat/>
    <w:rsid w:val="00051DC6"/>
    <w:rPr>
      <w:i/>
      <w:iCs/>
      <w:color w:val="2F5496" w:themeColor="accent1" w:themeShade="BF"/>
    </w:rPr>
  </w:style>
  <w:style w:type="paragraph" w:styleId="Citationintense">
    <w:name w:val="Intense Quote"/>
    <w:basedOn w:val="Normal"/>
    <w:next w:val="Normal"/>
    <w:link w:val="CitationintenseCar"/>
    <w:uiPriority w:val="30"/>
    <w:qFormat/>
    <w:rsid w:val="00051D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51DC6"/>
    <w:rPr>
      <w:i/>
      <w:iCs/>
      <w:color w:val="2F5496" w:themeColor="accent1" w:themeShade="BF"/>
    </w:rPr>
  </w:style>
  <w:style w:type="character" w:styleId="Rfrenceintense">
    <w:name w:val="Intense Reference"/>
    <w:basedOn w:val="Policepardfaut"/>
    <w:uiPriority w:val="32"/>
    <w:qFormat/>
    <w:rsid w:val="00051D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3603</Words>
  <Characters>19819</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2026-07-20T09:04:00Z</dcterms:created>
  <dcterms:modified xsi:type="dcterms:W3CDTF">2026-07-20T09:16:00Z</dcterms:modified>
</cp:coreProperties>
</file>